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FE388" w14:textId="0FA39797" w:rsidR="00A23C5D" w:rsidRPr="00B6067F" w:rsidRDefault="00A23C5D" w:rsidP="00B6067F">
      <w:pPr>
        <w:spacing w:after="0"/>
        <w:rPr>
          <w:rFonts w:ascii="Cambria" w:hAnsi="Cambria"/>
          <w:b/>
          <w:sz w:val="36"/>
          <w:szCs w:val="28"/>
        </w:rPr>
      </w:pPr>
      <w:r w:rsidRPr="00B6067F">
        <w:rPr>
          <w:rFonts w:ascii="Cambria" w:hAnsi="Cambria"/>
          <w:b/>
          <w:sz w:val="36"/>
          <w:szCs w:val="28"/>
        </w:rPr>
        <w:t>International Medical Graduates</w:t>
      </w:r>
    </w:p>
    <w:p w14:paraId="26A8FD5C" w14:textId="5EF5F540" w:rsidR="005F6967" w:rsidRPr="00A23C5D" w:rsidRDefault="005F6967" w:rsidP="00DC4460">
      <w:pPr>
        <w:spacing w:after="0"/>
        <w:rPr>
          <w:rFonts w:ascii="Cambria" w:hAnsi="Cambria"/>
          <w:sz w:val="24"/>
          <w:szCs w:val="28"/>
        </w:rPr>
      </w:pPr>
      <w:r w:rsidRPr="00A23C5D">
        <w:rPr>
          <w:rFonts w:ascii="Cambria" w:hAnsi="Cambria"/>
          <w:sz w:val="24"/>
          <w:szCs w:val="28"/>
        </w:rPr>
        <w:t>Monica Alba-Sandoval, MD, Haidee Custodio, MD, Miguel Sanchez, MD,</w:t>
      </w:r>
      <w:r w:rsidR="00B6067F">
        <w:rPr>
          <w:rFonts w:ascii="Cambria" w:hAnsi="Cambria"/>
          <w:sz w:val="24"/>
          <w:szCs w:val="28"/>
        </w:rPr>
        <w:t xml:space="preserve"> and</w:t>
      </w:r>
      <w:r w:rsidRPr="00A23C5D">
        <w:rPr>
          <w:rFonts w:ascii="Cambria" w:hAnsi="Cambria"/>
          <w:sz w:val="24"/>
          <w:szCs w:val="28"/>
        </w:rPr>
        <w:t xml:space="preserve"> Renuka Verma, MD</w:t>
      </w:r>
      <w:r w:rsidR="00F20809" w:rsidRPr="00A23C5D">
        <w:rPr>
          <w:rFonts w:ascii="Cambria" w:hAnsi="Cambria"/>
          <w:sz w:val="24"/>
          <w:szCs w:val="28"/>
        </w:rPr>
        <w:t xml:space="preserve"> </w:t>
      </w:r>
    </w:p>
    <w:p w14:paraId="6ED21B45" w14:textId="5060EA39" w:rsidR="00DC4460" w:rsidRDefault="00B6067F" w:rsidP="00DC4460">
      <w:pPr>
        <w:spacing w:after="0"/>
        <w:rPr>
          <w:rFonts w:ascii="Cambria" w:hAnsi="Cambria"/>
        </w:rPr>
      </w:pPr>
      <w:r w:rsidRPr="0076251F">
        <w:rPr>
          <w:rFonts w:ascii="Cambria" w:hAnsi="Cambria"/>
        </w:rPr>
        <w:t>Edited</w:t>
      </w:r>
      <w:r>
        <w:rPr>
          <w:rFonts w:ascii="Cambria" w:hAnsi="Cambria"/>
        </w:rPr>
        <w:t xml:space="preserve"> by Caren Gellin, MD and Daniel Sklansky, MD</w:t>
      </w:r>
    </w:p>
    <w:p w14:paraId="5CDE02F0" w14:textId="77777777" w:rsidR="00B6067F" w:rsidRPr="00DC4460" w:rsidRDefault="00B6067F" w:rsidP="00DC4460">
      <w:pPr>
        <w:spacing w:after="0"/>
        <w:rPr>
          <w:rFonts w:ascii="Cambria" w:hAnsi="Cambria"/>
        </w:rPr>
      </w:pPr>
    </w:p>
    <w:p w14:paraId="5536EF05" w14:textId="28492BF8" w:rsidR="00DC4460" w:rsidRPr="00A23C5D" w:rsidRDefault="00DC4460" w:rsidP="00DC4460">
      <w:pPr>
        <w:spacing w:after="0"/>
        <w:rPr>
          <w:rFonts w:ascii="Cambria" w:hAnsi="Cambria"/>
          <w:color w:val="0070C0"/>
          <w:sz w:val="28"/>
          <w:szCs w:val="28"/>
        </w:rPr>
      </w:pPr>
      <w:r w:rsidRPr="007C1A9B">
        <w:rPr>
          <w:rFonts w:ascii="Cambria" w:hAnsi="Cambria"/>
          <w:color w:val="0070C0"/>
          <w:sz w:val="28"/>
          <w:szCs w:val="28"/>
        </w:rPr>
        <w:t>Intro</w:t>
      </w:r>
      <w:r w:rsidR="007C1A9B" w:rsidRPr="007C1A9B">
        <w:rPr>
          <w:rFonts w:ascii="Cambria" w:hAnsi="Cambria"/>
          <w:color w:val="0070C0"/>
          <w:sz w:val="28"/>
          <w:szCs w:val="28"/>
        </w:rPr>
        <w:t>duction</w:t>
      </w:r>
    </w:p>
    <w:p w14:paraId="77E0E42F" w14:textId="674CD718" w:rsidR="005F6967" w:rsidRPr="00A23C5D" w:rsidRDefault="005F6967" w:rsidP="00A23C5D">
      <w:pPr>
        <w:rPr>
          <w:rFonts w:ascii="Calibri" w:hAnsi="Calibri" w:cs="Calibri"/>
          <w:color w:val="000000" w:themeColor="text1"/>
        </w:rPr>
      </w:pPr>
      <w:r w:rsidRPr="005F6967">
        <w:rPr>
          <w:rFonts w:ascii="Calibri" w:hAnsi="Calibri" w:cs="Calibri"/>
          <w:color w:val="000000" w:themeColor="text1"/>
        </w:rPr>
        <w:t xml:space="preserve">The inclusion of international medical graduates (IMGs) in pediatric residency programs is increasingly vital as they not only contribute to diversity and breadth of </w:t>
      </w:r>
      <w:r w:rsidR="0071278D">
        <w:rPr>
          <w:rFonts w:ascii="Calibri" w:hAnsi="Calibri" w:cs="Calibri"/>
          <w:color w:val="000000" w:themeColor="text1"/>
        </w:rPr>
        <w:t xml:space="preserve">experiences, </w:t>
      </w:r>
      <w:r w:rsidRPr="005F6967">
        <w:rPr>
          <w:rFonts w:ascii="Calibri" w:hAnsi="Calibri" w:cs="Calibri"/>
          <w:color w:val="000000" w:themeColor="text1"/>
        </w:rPr>
        <w:t xml:space="preserve">but also play a crucial role in addressing workforce needs. This chapter provides essential guidance on recruiting IMGs, </w:t>
      </w:r>
      <w:r w:rsidR="0071278D">
        <w:rPr>
          <w:rFonts w:ascii="Calibri" w:hAnsi="Calibri" w:cs="Calibri"/>
          <w:color w:val="000000" w:themeColor="text1"/>
        </w:rPr>
        <w:t xml:space="preserve">helping them </w:t>
      </w:r>
      <w:r w:rsidRPr="005F6967">
        <w:rPr>
          <w:rFonts w:ascii="Calibri" w:hAnsi="Calibri" w:cs="Calibri"/>
          <w:color w:val="000000" w:themeColor="text1"/>
        </w:rPr>
        <w:t>navigat</w:t>
      </w:r>
      <w:r w:rsidR="0071278D">
        <w:rPr>
          <w:rFonts w:ascii="Calibri" w:hAnsi="Calibri" w:cs="Calibri"/>
          <w:color w:val="000000" w:themeColor="text1"/>
        </w:rPr>
        <w:t>e</w:t>
      </w:r>
      <w:r w:rsidRPr="005F6967">
        <w:rPr>
          <w:rFonts w:ascii="Calibri" w:hAnsi="Calibri" w:cs="Calibri"/>
          <w:color w:val="000000" w:themeColor="text1"/>
        </w:rPr>
        <w:t xml:space="preserve"> visa processes, supporting their acculturation, </w:t>
      </w:r>
      <w:r w:rsidR="0071278D">
        <w:rPr>
          <w:rFonts w:ascii="Calibri" w:hAnsi="Calibri" w:cs="Calibri"/>
          <w:color w:val="000000" w:themeColor="text1"/>
        </w:rPr>
        <w:t xml:space="preserve">and </w:t>
      </w:r>
      <w:r w:rsidRPr="005F6967">
        <w:rPr>
          <w:rFonts w:ascii="Calibri" w:hAnsi="Calibri" w:cs="Calibri"/>
          <w:color w:val="000000" w:themeColor="text1"/>
        </w:rPr>
        <w:t xml:space="preserve">ensuring they thrive in their roles. Addressing these areas is crucial for program directors to foster a more inclusive and effective residency environment while meeting the </w:t>
      </w:r>
      <w:r>
        <w:rPr>
          <w:rFonts w:ascii="Calibri" w:hAnsi="Calibri" w:cs="Calibri"/>
          <w:color w:val="000000" w:themeColor="text1"/>
        </w:rPr>
        <w:t xml:space="preserve">evolving needs of </w:t>
      </w:r>
      <w:r w:rsidRPr="005F6967">
        <w:rPr>
          <w:rFonts w:ascii="Calibri" w:hAnsi="Calibri" w:cs="Calibri"/>
          <w:color w:val="000000" w:themeColor="text1"/>
        </w:rPr>
        <w:t>the medical workforce.</w:t>
      </w:r>
    </w:p>
    <w:p w14:paraId="18B052D4" w14:textId="2102DEE6" w:rsidR="007C1A9B" w:rsidRPr="00A23C5D" w:rsidRDefault="007C2604" w:rsidP="00DC4460">
      <w:pPr>
        <w:spacing w:after="0"/>
        <w:rPr>
          <w:rFonts w:ascii="Cambria" w:hAnsi="Cambria"/>
          <w:u w:val="single"/>
        </w:rPr>
      </w:pPr>
      <w:r>
        <w:rPr>
          <w:rFonts w:ascii="Cambria" w:hAnsi="Cambria"/>
          <w:color w:val="0070C0"/>
          <w:sz w:val="28"/>
          <w:szCs w:val="28"/>
        </w:rPr>
        <w:t>Recruitment</w:t>
      </w:r>
    </w:p>
    <w:p w14:paraId="79163923" w14:textId="41434D85" w:rsidR="007C2604" w:rsidRPr="007C2604" w:rsidRDefault="007C2604" w:rsidP="007C2604">
      <w:pPr>
        <w:rPr>
          <w:rFonts w:ascii="Calibri" w:hAnsi="Calibri" w:cs="Calibri"/>
          <w:color w:val="000000" w:themeColor="text1"/>
        </w:rPr>
      </w:pPr>
      <w:r w:rsidRPr="007C2604">
        <w:rPr>
          <w:rFonts w:ascii="Calibri" w:hAnsi="Calibri" w:cs="Calibri"/>
          <w:color w:val="000000" w:themeColor="text1"/>
        </w:rPr>
        <w:t xml:space="preserve">Recruiting holistic framework and core principles can be applied to the IMG candidates as it is to domestic candidates </w:t>
      </w:r>
      <w:r w:rsidRPr="00A23C5D">
        <w:rPr>
          <w:rFonts w:ascii="Calibri" w:hAnsi="Calibri" w:cs="Calibri"/>
          <w:color w:val="000000" w:themeColor="text1"/>
        </w:rPr>
        <w:t>(See Figure 1 and</w:t>
      </w:r>
      <w:r>
        <w:rPr>
          <w:rFonts w:ascii="Calibri" w:hAnsi="Calibri" w:cs="Calibri"/>
          <w:color w:val="000000" w:themeColor="text1"/>
        </w:rPr>
        <w:t xml:space="preserve"> </w:t>
      </w:r>
      <w:hyperlink r:id="rId6" w:anchor="program" w:history="1">
        <w:r w:rsidRPr="007C2604">
          <w:rPr>
            <w:rStyle w:val="Hyperlink"/>
            <w:rFonts w:ascii="Calibri" w:hAnsi="Calibri" w:cs="Calibri"/>
          </w:rPr>
          <w:t>AAMC Holistic Review Primer for Program Directors</w:t>
        </w:r>
      </w:hyperlink>
      <w:r w:rsidRPr="007C2604">
        <w:rPr>
          <w:rFonts w:ascii="Calibri" w:hAnsi="Calibri" w:cs="Calibri"/>
          <w:color w:val="000000" w:themeColor="text1"/>
        </w:rPr>
        <w:t xml:space="preserve">). As a result, the program will have the opportunity to select candidates </w:t>
      </w:r>
      <w:r w:rsidR="0071278D">
        <w:rPr>
          <w:rFonts w:ascii="Calibri" w:hAnsi="Calibri" w:cs="Calibri"/>
          <w:color w:val="000000" w:themeColor="text1"/>
        </w:rPr>
        <w:t>who</w:t>
      </w:r>
      <w:r w:rsidR="00C23A0D">
        <w:rPr>
          <w:rFonts w:ascii="Calibri" w:hAnsi="Calibri" w:cs="Calibri"/>
          <w:color w:val="000000" w:themeColor="text1"/>
        </w:rPr>
        <w:t>:</w:t>
      </w:r>
    </w:p>
    <w:p w14:paraId="649ADEA3" w14:textId="63993A2A" w:rsidR="007C2604" w:rsidRPr="007C2604" w:rsidRDefault="007C2604" w:rsidP="007C2604">
      <w:pPr>
        <w:rPr>
          <w:rFonts w:ascii="Calibri" w:hAnsi="Calibri" w:cs="Calibri"/>
          <w:color w:val="000000" w:themeColor="text1"/>
        </w:rPr>
      </w:pPr>
      <w:r w:rsidRPr="007C2604">
        <w:rPr>
          <w:rFonts w:ascii="Calibri" w:hAnsi="Calibri" w:cs="Calibri"/>
          <w:color w:val="000000" w:themeColor="text1"/>
        </w:rPr>
        <w:t xml:space="preserve">1. Align </w:t>
      </w:r>
      <w:r w:rsidR="0071278D">
        <w:rPr>
          <w:rFonts w:ascii="Calibri" w:hAnsi="Calibri" w:cs="Calibri"/>
          <w:color w:val="000000" w:themeColor="text1"/>
        </w:rPr>
        <w:t>with</w:t>
      </w:r>
      <w:r w:rsidRPr="007C2604">
        <w:rPr>
          <w:rFonts w:ascii="Calibri" w:hAnsi="Calibri" w:cs="Calibri"/>
          <w:color w:val="000000" w:themeColor="text1"/>
        </w:rPr>
        <w:t xml:space="preserve"> the goals and mission of the program.</w:t>
      </w:r>
    </w:p>
    <w:p w14:paraId="245BF4D9" w14:textId="77777777" w:rsidR="007C2604" w:rsidRPr="007C2604" w:rsidRDefault="007C2604" w:rsidP="007C2604">
      <w:pPr>
        <w:rPr>
          <w:rFonts w:ascii="Calibri" w:hAnsi="Calibri" w:cs="Calibri"/>
          <w:color w:val="000000" w:themeColor="text1"/>
        </w:rPr>
      </w:pPr>
      <w:r w:rsidRPr="007C2604">
        <w:rPr>
          <w:rFonts w:ascii="Calibri" w:hAnsi="Calibri" w:cs="Calibri"/>
          <w:color w:val="000000" w:themeColor="text1"/>
        </w:rPr>
        <w:t>2. Help the program mirror the community it serves.</w:t>
      </w:r>
    </w:p>
    <w:p w14:paraId="76CCF64E" w14:textId="091F1820" w:rsidR="007C2604" w:rsidRPr="007C2604" w:rsidRDefault="007C2604" w:rsidP="007C2604">
      <w:pPr>
        <w:rPr>
          <w:rFonts w:ascii="Calibri" w:hAnsi="Calibri" w:cs="Calibri"/>
          <w:color w:val="000000" w:themeColor="text1"/>
        </w:rPr>
      </w:pPr>
      <w:r w:rsidRPr="007C2604">
        <w:rPr>
          <w:rFonts w:ascii="Calibri" w:hAnsi="Calibri" w:cs="Calibri"/>
          <w:color w:val="000000" w:themeColor="text1"/>
        </w:rPr>
        <w:t xml:space="preserve">3. </w:t>
      </w:r>
      <w:r w:rsidR="0071278D">
        <w:rPr>
          <w:rFonts w:ascii="Calibri" w:hAnsi="Calibri" w:cs="Calibri"/>
          <w:color w:val="000000" w:themeColor="text1"/>
        </w:rPr>
        <w:t>Provide</w:t>
      </w:r>
      <w:r w:rsidR="0071278D" w:rsidRPr="007C2604">
        <w:rPr>
          <w:rFonts w:ascii="Calibri" w:hAnsi="Calibri" w:cs="Calibri"/>
          <w:color w:val="000000" w:themeColor="text1"/>
        </w:rPr>
        <w:t xml:space="preserve"> </w:t>
      </w:r>
      <w:r w:rsidR="0071278D">
        <w:rPr>
          <w:rFonts w:ascii="Calibri" w:hAnsi="Calibri" w:cs="Calibri"/>
          <w:color w:val="000000" w:themeColor="text1"/>
        </w:rPr>
        <w:t xml:space="preserve">multi-faceted </w:t>
      </w:r>
      <w:r w:rsidRPr="007C2604">
        <w:rPr>
          <w:rFonts w:ascii="Calibri" w:hAnsi="Calibri" w:cs="Calibri"/>
          <w:color w:val="000000" w:themeColor="text1"/>
        </w:rPr>
        <w:t>diversity</w:t>
      </w:r>
      <w:r w:rsidR="0071278D">
        <w:rPr>
          <w:rFonts w:ascii="Calibri" w:hAnsi="Calibri" w:cs="Calibri"/>
          <w:color w:val="000000" w:themeColor="text1"/>
        </w:rPr>
        <w:t xml:space="preserve"> to the system.</w:t>
      </w:r>
      <w:r w:rsidRPr="007C2604">
        <w:rPr>
          <w:rFonts w:ascii="Calibri" w:hAnsi="Calibri" w:cs="Calibri"/>
          <w:color w:val="000000" w:themeColor="text1"/>
        </w:rPr>
        <w:t xml:space="preserve"> </w:t>
      </w:r>
    </w:p>
    <w:p w14:paraId="289A3C96" w14:textId="4319C8AA" w:rsidR="007C2604" w:rsidRDefault="00C23A0D" w:rsidP="00DC4460">
      <w:pPr>
        <w:spacing w:after="0"/>
        <w:rPr>
          <w:rFonts w:cstheme="minorHAnsi"/>
        </w:rPr>
      </w:pPr>
      <w:r w:rsidRPr="00C23A0D">
        <w:rPr>
          <w:rFonts w:cstheme="minorHAnsi"/>
          <w:noProof/>
        </w:rPr>
        <w:drawing>
          <wp:inline distT="0" distB="0" distL="0" distR="0" wp14:anchorId="320DC5DE" wp14:editId="14F9BBA3">
            <wp:extent cx="3520538" cy="2562225"/>
            <wp:effectExtent l="0" t="0" r="3810" b="0"/>
            <wp:docPr id="614878183" name="Picture 1"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78183" name="Picture 1" descr="A diagram of a model&#10;&#10;Description automatically generated"/>
                    <pic:cNvPicPr/>
                  </pic:nvPicPr>
                  <pic:blipFill>
                    <a:blip r:embed="rId7"/>
                    <a:stretch>
                      <a:fillRect/>
                    </a:stretch>
                  </pic:blipFill>
                  <pic:spPr>
                    <a:xfrm>
                      <a:off x="0" y="0"/>
                      <a:ext cx="3540158" cy="2576504"/>
                    </a:xfrm>
                    <a:prstGeom prst="rect">
                      <a:avLst/>
                    </a:prstGeom>
                  </pic:spPr>
                </pic:pic>
              </a:graphicData>
            </a:graphic>
          </wp:inline>
        </w:drawing>
      </w:r>
    </w:p>
    <w:p w14:paraId="1FD2CB28" w14:textId="77777777" w:rsidR="00A23C5D" w:rsidRDefault="00E83AF9" w:rsidP="007C2604">
      <w:pPr>
        <w:spacing w:after="0"/>
        <w:rPr>
          <w:rFonts w:cstheme="minorHAnsi"/>
        </w:rPr>
      </w:pPr>
      <w:r w:rsidRPr="00C23A0D">
        <w:rPr>
          <w:rFonts w:cstheme="minorHAnsi"/>
          <w:noProof/>
        </w:rPr>
        <mc:AlternateContent>
          <mc:Choice Requires="wps">
            <w:drawing>
              <wp:anchor distT="45720" distB="45720" distL="114300" distR="114300" simplePos="0" relativeHeight="251659264" behindDoc="0" locked="0" layoutInCell="1" allowOverlap="1" wp14:anchorId="3983715C" wp14:editId="5E711661">
                <wp:simplePos x="0" y="0"/>
                <wp:positionH relativeFrom="margin">
                  <wp:align>right</wp:align>
                </wp:positionH>
                <wp:positionV relativeFrom="paragraph">
                  <wp:posOffset>262890</wp:posOffset>
                </wp:positionV>
                <wp:extent cx="5953125" cy="4381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38150"/>
                        </a:xfrm>
                        <a:prstGeom prst="rect">
                          <a:avLst/>
                        </a:prstGeom>
                        <a:solidFill>
                          <a:srgbClr val="FFFFFF"/>
                        </a:solidFill>
                        <a:ln w="9525">
                          <a:noFill/>
                          <a:miter lim="800000"/>
                          <a:headEnd/>
                          <a:tailEnd/>
                        </a:ln>
                      </wps:spPr>
                      <wps:txbx>
                        <w:txbxContent>
                          <w:p w14:paraId="715B088F" w14:textId="28BA26A9" w:rsidR="00C23A0D" w:rsidRDefault="00E83AF9">
                            <w:r>
                              <w:t>Fig. 1. Model for Holistic GME Selection. “Holistic Principles in Resident Selection: An introduction, AAMC”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83715C" id="_x0000_t202" coordsize="21600,21600" o:spt="202" path="m,l,21600r21600,l21600,xe">
                <v:stroke joinstyle="miter"/>
                <v:path gradientshapeok="t" o:connecttype="rect"/>
              </v:shapetype>
              <v:shape id="Text Box 2" o:spid="_x0000_s1026" type="#_x0000_t202" style="position:absolute;margin-left:417.55pt;margin-top:20.7pt;width:468.75pt;height:3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" stroked="f">
                <v:textbox>
                  <w:txbxContent>
                    <w:p w14:paraId="715B088F" w14:textId="28BA26A9" w:rsidR="00C23A0D" w:rsidRDefault="00E83AF9">
                      <w:r>
                        <w:t>Fig. 1. Model for Holistic GME Selection. “Holistic Principles in Resident Selection: An introduction, AAMC”</w:t>
                      </w:r>
                    </w:p>
                  </w:txbxContent>
                </v:textbox>
                <w10:wrap type="square" anchorx="margin"/>
              </v:shape>
            </w:pict>
          </mc:Fallback>
        </mc:AlternateContent>
      </w:r>
    </w:p>
    <w:p w14:paraId="49C39E77" w14:textId="77777777" w:rsidR="00A23C5D" w:rsidRDefault="00A23C5D" w:rsidP="007C2604">
      <w:pPr>
        <w:spacing w:after="0"/>
        <w:rPr>
          <w:rFonts w:cstheme="minorHAnsi"/>
        </w:rPr>
      </w:pPr>
    </w:p>
    <w:p w14:paraId="3CDC14A8" w14:textId="77777777" w:rsidR="00A23C5D" w:rsidRDefault="00A23C5D" w:rsidP="007C2604">
      <w:pPr>
        <w:spacing w:after="0"/>
        <w:rPr>
          <w:rFonts w:cstheme="minorHAnsi"/>
        </w:rPr>
      </w:pPr>
    </w:p>
    <w:p w14:paraId="4A0DE40F" w14:textId="70A31EA8" w:rsidR="007C2604" w:rsidRPr="00A23C5D" w:rsidRDefault="007C2604" w:rsidP="007C2604">
      <w:pPr>
        <w:spacing w:after="0"/>
        <w:rPr>
          <w:rFonts w:cstheme="minorHAnsi"/>
        </w:rPr>
      </w:pPr>
      <w:r>
        <w:rPr>
          <w:rFonts w:ascii="Cambria" w:hAnsi="Cambria" w:cstheme="minorHAnsi"/>
          <w:i/>
          <w:iCs/>
          <w:color w:val="2F5496" w:themeColor="accent1" w:themeShade="BF"/>
          <w:sz w:val="24"/>
          <w:szCs w:val="24"/>
        </w:rPr>
        <w:t>Experiences</w:t>
      </w:r>
    </w:p>
    <w:p w14:paraId="49AACBBB" w14:textId="238ACF56" w:rsidR="007C2604" w:rsidRPr="007C2604" w:rsidRDefault="00E83AF9" w:rsidP="007C2604">
      <w:pPr>
        <w:spacing w:after="0"/>
        <w:rPr>
          <w:rFonts w:ascii="Calibri" w:hAnsi="Calibri" w:cs="Calibri"/>
          <w:u w:val="single"/>
        </w:rPr>
      </w:pPr>
      <w:r>
        <w:rPr>
          <w:rFonts w:ascii="Calibri" w:hAnsi="Calibri" w:cs="Calibri"/>
          <w:color w:val="000000" w:themeColor="text1"/>
        </w:rPr>
        <w:lastRenderedPageBreak/>
        <w:t>IMG training e</w:t>
      </w:r>
      <w:r w:rsidR="007C2604" w:rsidRPr="007C2604">
        <w:rPr>
          <w:rFonts w:ascii="Calibri" w:hAnsi="Calibri" w:cs="Calibri"/>
          <w:color w:val="000000" w:themeColor="text1"/>
        </w:rPr>
        <w:t xml:space="preserve">xperiences are </w:t>
      </w:r>
      <w:r w:rsidRPr="007C2604">
        <w:rPr>
          <w:rFonts w:ascii="Calibri" w:hAnsi="Calibri" w:cs="Calibri"/>
          <w:color w:val="000000" w:themeColor="text1"/>
        </w:rPr>
        <w:t>diverse,</w:t>
      </w:r>
      <w:r w:rsidR="007C2604" w:rsidRPr="007C2604">
        <w:rPr>
          <w:rFonts w:ascii="Calibri" w:hAnsi="Calibri" w:cs="Calibri"/>
          <w:color w:val="000000" w:themeColor="text1"/>
        </w:rPr>
        <w:t xml:space="preserve"> differ</w:t>
      </w:r>
      <w:r w:rsidR="0071278D">
        <w:rPr>
          <w:rFonts w:ascii="Calibri" w:hAnsi="Calibri" w:cs="Calibri"/>
          <w:color w:val="000000" w:themeColor="text1"/>
        </w:rPr>
        <w:t>ing</w:t>
      </w:r>
      <w:r w:rsidR="007C2604" w:rsidRPr="007C2604">
        <w:rPr>
          <w:rFonts w:ascii="Calibri" w:hAnsi="Calibri" w:cs="Calibri"/>
          <w:color w:val="000000" w:themeColor="text1"/>
        </w:rPr>
        <w:t xml:space="preserve"> from domestic schools in many aspects. Notably the exposure to community service, leadership, and experience with diverse populations may not be as evident in </w:t>
      </w:r>
      <w:r w:rsidR="0071278D">
        <w:rPr>
          <w:rFonts w:ascii="Calibri" w:hAnsi="Calibri" w:cs="Calibri"/>
          <w:color w:val="000000" w:themeColor="text1"/>
        </w:rPr>
        <w:t>IMG</w:t>
      </w:r>
      <w:r w:rsidR="0071278D" w:rsidRPr="007C2604">
        <w:rPr>
          <w:rFonts w:ascii="Calibri" w:hAnsi="Calibri" w:cs="Calibri"/>
          <w:color w:val="000000" w:themeColor="text1"/>
        </w:rPr>
        <w:t xml:space="preserve"> </w:t>
      </w:r>
      <w:r w:rsidR="007C2604" w:rsidRPr="007C2604">
        <w:rPr>
          <w:rFonts w:ascii="Calibri" w:hAnsi="Calibri" w:cs="Calibri"/>
          <w:color w:val="000000" w:themeColor="text1"/>
        </w:rPr>
        <w:t>application</w:t>
      </w:r>
      <w:r w:rsidR="0071278D">
        <w:rPr>
          <w:rFonts w:ascii="Calibri" w:hAnsi="Calibri" w:cs="Calibri"/>
          <w:color w:val="000000" w:themeColor="text1"/>
        </w:rPr>
        <w:t>s</w:t>
      </w:r>
      <w:r w:rsidR="007C2604" w:rsidRPr="007C2604">
        <w:rPr>
          <w:rFonts w:ascii="Calibri" w:hAnsi="Calibri" w:cs="Calibri"/>
          <w:color w:val="000000" w:themeColor="text1"/>
        </w:rPr>
        <w:t xml:space="preserve">. These aspects may be integrated into their school experience/curricula but not as emphasized or </w:t>
      </w:r>
      <w:r w:rsidR="0071278D">
        <w:rPr>
          <w:rFonts w:ascii="Calibri" w:hAnsi="Calibri" w:cs="Calibri"/>
          <w:color w:val="000000" w:themeColor="text1"/>
        </w:rPr>
        <w:t>highlighted in their CVs.</w:t>
      </w:r>
      <w:r w:rsidR="007C2604" w:rsidRPr="007C2604">
        <w:rPr>
          <w:rFonts w:ascii="Calibri" w:hAnsi="Calibri" w:cs="Calibri"/>
          <w:color w:val="000000" w:themeColor="text1"/>
        </w:rPr>
        <w:t xml:space="preserve"> The new ERAS application may help to discern such exposure. Look </w:t>
      </w:r>
      <w:r w:rsidR="009C522D">
        <w:rPr>
          <w:rFonts w:ascii="Calibri" w:hAnsi="Calibri" w:cs="Calibri"/>
          <w:color w:val="000000" w:themeColor="text1"/>
        </w:rPr>
        <w:t>at the</w:t>
      </w:r>
      <w:r w:rsidR="007C2604" w:rsidRPr="007C2604">
        <w:rPr>
          <w:rFonts w:ascii="Calibri" w:hAnsi="Calibri" w:cs="Calibri"/>
          <w:color w:val="000000" w:themeColor="text1"/>
        </w:rPr>
        <w:t xml:space="preserve"> </w:t>
      </w:r>
      <w:r w:rsidR="009C522D">
        <w:rPr>
          <w:rFonts w:ascii="Calibri" w:hAnsi="Calibri" w:cs="Calibri"/>
          <w:color w:val="000000" w:themeColor="text1"/>
        </w:rPr>
        <w:t>M</w:t>
      </w:r>
      <w:r w:rsidR="007C2604" w:rsidRPr="007C2604">
        <w:rPr>
          <w:rFonts w:ascii="Calibri" w:hAnsi="Calibri" w:cs="Calibri"/>
          <w:color w:val="000000" w:themeColor="text1"/>
        </w:rPr>
        <w:t xml:space="preserve">eaningful </w:t>
      </w:r>
      <w:r w:rsidR="009C522D">
        <w:rPr>
          <w:rFonts w:ascii="Calibri" w:hAnsi="Calibri" w:cs="Calibri"/>
          <w:color w:val="000000" w:themeColor="text1"/>
        </w:rPr>
        <w:t>E</w:t>
      </w:r>
      <w:r w:rsidR="007C2604" w:rsidRPr="007C2604">
        <w:rPr>
          <w:rFonts w:ascii="Calibri" w:hAnsi="Calibri" w:cs="Calibri"/>
          <w:color w:val="000000" w:themeColor="text1"/>
        </w:rPr>
        <w:t>xperiences</w:t>
      </w:r>
      <w:r w:rsidR="009C522D">
        <w:rPr>
          <w:rFonts w:ascii="Calibri" w:hAnsi="Calibri" w:cs="Calibri"/>
          <w:color w:val="000000" w:themeColor="text1"/>
        </w:rPr>
        <w:t xml:space="preserve"> section in ERAS</w:t>
      </w:r>
      <w:r w:rsidR="0017034C">
        <w:rPr>
          <w:rFonts w:ascii="Calibri" w:hAnsi="Calibri" w:cs="Calibri"/>
          <w:color w:val="000000" w:themeColor="text1"/>
        </w:rPr>
        <w:t>.</w:t>
      </w:r>
      <w:r w:rsidR="007C2604">
        <w:rPr>
          <w:rFonts w:ascii="Calibri" w:hAnsi="Calibri" w:cs="Calibri"/>
          <w:color w:val="000000" w:themeColor="text1"/>
        </w:rPr>
        <w:t xml:space="preserve"> </w:t>
      </w:r>
    </w:p>
    <w:p w14:paraId="389853E9" w14:textId="5FF3F167" w:rsidR="007C2604" w:rsidRDefault="007C2604" w:rsidP="00DC4460">
      <w:pPr>
        <w:spacing w:after="0"/>
        <w:rPr>
          <w:rFonts w:cstheme="minorHAnsi"/>
        </w:rPr>
      </w:pPr>
    </w:p>
    <w:p w14:paraId="6726C272" w14:textId="47C6911E" w:rsidR="007C2604" w:rsidRPr="008B6918" w:rsidRDefault="007C2604" w:rsidP="00DC4460">
      <w:pPr>
        <w:spacing w:after="0"/>
        <w:rPr>
          <w:rFonts w:cstheme="minorHAnsi"/>
          <w:color w:val="2F5496" w:themeColor="accent1" w:themeShade="BF"/>
        </w:rPr>
      </w:pPr>
      <w:r w:rsidRPr="008B6918">
        <w:rPr>
          <w:rFonts w:cstheme="minorHAnsi"/>
          <w:color w:val="2F5496" w:themeColor="accent1" w:themeShade="BF"/>
        </w:rPr>
        <w:t xml:space="preserve">Clinical Experiences in </w:t>
      </w:r>
      <w:r w:rsidR="009C522D">
        <w:rPr>
          <w:rFonts w:cstheme="minorHAnsi"/>
          <w:color w:val="2F5496" w:themeColor="accent1" w:themeShade="BF"/>
        </w:rPr>
        <w:t>N</w:t>
      </w:r>
      <w:r w:rsidRPr="008B6918">
        <w:rPr>
          <w:rFonts w:cstheme="minorHAnsi"/>
          <w:color w:val="2F5496" w:themeColor="accent1" w:themeShade="BF"/>
        </w:rPr>
        <w:t xml:space="preserve">ative </w:t>
      </w:r>
      <w:r w:rsidR="009C522D">
        <w:rPr>
          <w:rFonts w:cstheme="minorHAnsi"/>
          <w:color w:val="2F5496" w:themeColor="accent1" w:themeShade="BF"/>
        </w:rPr>
        <w:t>C</w:t>
      </w:r>
      <w:r w:rsidRPr="008B6918">
        <w:rPr>
          <w:rFonts w:cstheme="minorHAnsi"/>
          <w:color w:val="2F5496" w:themeColor="accent1" w:themeShade="BF"/>
        </w:rPr>
        <w:t>ountry</w:t>
      </w:r>
    </w:p>
    <w:p w14:paraId="671F66B5" w14:textId="3CFF4085" w:rsidR="007C2604" w:rsidRPr="008B6918" w:rsidRDefault="007C2604" w:rsidP="00DC4460">
      <w:pPr>
        <w:spacing w:after="0"/>
        <w:rPr>
          <w:rFonts w:ascii="Calibri" w:hAnsi="Calibri" w:cs="Calibri"/>
        </w:rPr>
      </w:pPr>
      <w:r w:rsidRPr="0017034C">
        <w:rPr>
          <w:rFonts w:ascii="Calibri" w:hAnsi="Calibri" w:cs="Calibri"/>
          <w:b/>
          <w:bCs/>
          <w:color w:val="000000" w:themeColor="text1"/>
        </w:rPr>
        <w:t>Internship and mandatory social/rural service</w:t>
      </w:r>
      <w:r w:rsidR="009C522D">
        <w:rPr>
          <w:rFonts w:ascii="Calibri" w:hAnsi="Calibri" w:cs="Calibri"/>
          <w:b/>
          <w:bCs/>
          <w:color w:val="000000" w:themeColor="text1"/>
        </w:rPr>
        <w:t>:</w:t>
      </w:r>
      <w:r w:rsidRPr="008B6918">
        <w:rPr>
          <w:rFonts w:ascii="Calibri" w:hAnsi="Calibri" w:cs="Calibri"/>
          <w:color w:val="000000" w:themeColor="text1"/>
        </w:rPr>
        <w:t xml:space="preserve"> In many school systems medical students rotate through an internship year (last year of medical school) in which </w:t>
      </w:r>
      <w:r w:rsidR="0071278D">
        <w:rPr>
          <w:rFonts w:ascii="Calibri" w:hAnsi="Calibri" w:cs="Calibri"/>
          <w:color w:val="000000" w:themeColor="text1"/>
        </w:rPr>
        <w:t>they</w:t>
      </w:r>
      <w:r w:rsidRPr="008B6918">
        <w:rPr>
          <w:rFonts w:ascii="Calibri" w:hAnsi="Calibri" w:cs="Calibri"/>
          <w:color w:val="000000" w:themeColor="text1"/>
        </w:rPr>
        <w:t xml:space="preserve"> develop autonomy by exposure to high patient volumes and</w:t>
      </w:r>
      <w:r w:rsidR="00E83AF9">
        <w:rPr>
          <w:rFonts w:ascii="Calibri" w:hAnsi="Calibri" w:cs="Calibri"/>
          <w:color w:val="000000" w:themeColor="text1"/>
        </w:rPr>
        <w:t xml:space="preserve"> practice under</w:t>
      </w:r>
      <w:r w:rsidRPr="008B6918">
        <w:rPr>
          <w:rFonts w:ascii="Calibri" w:hAnsi="Calibri" w:cs="Calibri"/>
          <w:color w:val="000000" w:themeColor="text1"/>
        </w:rPr>
        <w:t xml:space="preserve"> indirect supervision. In addition, some systems require the new graduate to complete 6 months to </w:t>
      </w:r>
      <w:r w:rsidR="0071278D">
        <w:rPr>
          <w:rFonts w:ascii="Calibri" w:hAnsi="Calibri" w:cs="Calibri"/>
          <w:color w:val="000000" w:themeColor="text1"/>
        </w:rPr>
        <w:t>one</w:t>
      </w:r>
      <w:r w:rsidRPr="008B6918">
        <w:rPr>
          <w:rFonts w:ascii="Calibri" w:hAnsi="Calibri" w:cs="Calibri"/>
          <w:color w:val="000000" w:themeColor="text1"/>
        </w:rPr>
        <w:t xml:space="preserve"> year of independent practice (rural or social service) to apply for independent licensing. Those IMGs that have completed </w:t>
      </w:r>
      <w:r w:rsidR="0071278D">
        <w:rPr>
          <w:rFonts w:ascii="Calibri" w:hAnsi="Calibri" w:cs="Calibri"/>
          <w:color w:val="000000" w:themeColor="text1"/>
        </w:rPr>
        <w:t>the above pathway may have</w:t>
      </w:r>
      <w:r w:rsidRPr="008B6918">
        <w:rPr>
          <w:rFonts w:ascii="Calibri" w:hAnsi="Calibri" w:cs="Calibri"/>
          <w:color w:val="000000" w:themeColor="text1"/>
        </w:rPr>
        <w:t xml:space="preserve"> practiced autonomously in low resource settings, foster</w:t>
      </w:r>
      <w:r w:rsidR="0071278D">
        <w:rPr>
          <w:rFonts w:ascii="Calibri" w:hAnsi="Calibri" w:cs="Calibri"/>
          <w:color w:val="000000" w:themeColor="text1"/>
        </w:rPr>
        <w:t>ing</w:t>
      </w:r>
      <w:r w:rsidRPr="008B6918">
        <w:rPr>
          <w:rFonts w:ascii="Calibri" w:hAnsi="Calibri" w:cs="Calibri"/>
          <w:color w:val="000000" w:themeColor="text1"/>
        </w:rPr>
        <w:t xml:space="preserve"> professionalism, </w:t>
      </w:r>
      <w:r w:rsidR="00E83AF9" w:rsidRPr="008B6918">
        <w:rPr>
          <w:rFonts w:ascii="Calibri" w:hAnsi="Calibri" w:cs="Calibri"/>
          <w:color w:val="000000" w:themeColor="text1"/>
        </w:rPr>
        <w:t>adaptability,</w:t>
      </w:r>
      <w:r w:rsidRPr="008B6918">
        <w:rPr>
          <w:rFonts w:ascii="Calibri" w:hAnsi="Calibri" w:cs="Calibri"/>
          <w:color w:val="000000" w:themeColor="text1"/>
        </w:rPr>
        <w:t xml:space="preserve"> and resourcefulness.</w:t>
      </w:r>
    </w:p>
    <w:p w14:paraId="3C4BB986" w14:textId="77777777" w:rsidR="007C2604" w:rsidRPr="008B6918" w:rsidRDefault="007C2604" w:rsidP="00DC4460">
      <w:pPr>
        <w:spacing w:after="0"/>
        <w:rPr>
          <w:rFonts w:ascii="Calibri" w:hAnsi="Calibri" w:cs="Calibri"/>
        </w:rPr>
      </w:pPr>
    </w:p>
    <w:p w14:paraId="2DBB4C0C" w14:textId="1D6757B7" w:rsidR="008B6918" w:rsidRDefault="008B6918" w:rsidP="00DC4460">
      <w:pPr>
        <w:spacing w:after="0"/>
        <w:rPr>
          <w:rFonts w:ascii="Calibri" w:hAnsi="Calibri" w:cs="Calibri"/>
          <w:color w:val="000000" w:themeColor="text1"/>
        </w:rPr>
      </w:pPr>
      <w:r w:rsidRPr="0017034C">
        <w:rPr>
          <w:rFonts w:ascii="Calibri" w:hAnsi="Calibri" w:cs="Calibri"/>
          <w:b/>
          <w:bCs/>
          <w:color w:val="000000" w:themeColor="text1"/>
        </w:rPr>
        <w:t>Working practitioner</w:t>
      </w:r>
      <w:r w:rsidR="009C522D">
        <w:rPr>
          <w:rFonts w:ascii="Calibri" w:hAnsi="Calibri" w:cs="Calibri"/>
          <w:b/>
          <w:bCs/>
          <w:color w:val="000000" w:themeColor="text1"/>
        </w:rPr>
        <w:t>:</w:t>
      </w:r>
      <w:r w:rsidRPr="008B6918">
        <w:rPr>
          <w:rFonts w:ascii="Calibri" w:hAnsi="Calibri" w:cs="Calibri"/>
          <w:color w:val="000000" w:themeColor="text1"/>
        </w:rPr>
        <w:t xml:space="preserve"> Once </w:t>
      </w:r>
      <w:r w:rsidR="0071278D">
        <w:rPr>
          <w:rFonts w:ascii="Calibri" w:hAnsi="Calibri" w:cs="Calibri"/>
          <w:color w:val="000000" w:themeColor="text1"/>
        </w:rPr>
        <w:t xml:space="preserve">a </w:t>
      </w:r>
      <w:r w:rsidRPr="008B6918">
        <w:rPr>
          <w:rFonts w:ascii="Calibri" w:hAnsi="Calibri" w:cs="Calibri"/>
          <w:color w:val="000000" w:themeColor="text1"/>
        </w:rPr>
        <w:t xml:space="preserve">license is obtained in their native countries, physicians may enter independent practice. Most likely, they can work as general practitioners for adults, </w:t>
      </w:r>
      <w:r w:rsidR="00E83AF9" w:rsidRPr="008B6918">
        <w:rPr>
          <w:rFonts w:ascii="Calibri" w:hAnsi="Calibri" w:cs="Calibri"/>
          <w:color w:val="000000" w:themeColor="text1"/>
        </w:rPr>
        <w:t>women,</w:t>
      </w:r>
      <w:r w:rsidRPr="008B6918">
        <w:rPr>
          <w:rFonts w:ascii="Calibri" w:hAnsi="Calibri" w:cs="Calibri"/>
          <w:color w:val="000000" w:themeColor="text1"/>
        </w:rPr>
        <w:t xml:space="preserve"> and children. As a result, skills such </w:t>
      </w:r>
      <w:r w:rsidR="009C522D">
        <w:rPr>
          <w:rFonts w:ascii="Calibri" w:hAnsi="Calibri" w:cs="Calibri"/>
          <w:color w:val="000000" w:themeColor="text1"/>
        </w:rPr>
        <w:t xml:space="preserve">as </w:t>
      </w:r>
      <w:r w:rsidRPr="008B6918">
        <w:rPr>
          <w:rFonts w:ascii="Calibri" w:hAnsi="Calibri" w:cs="Calibri"/>
          <w:color w:val="000000" w:themeColor="text1"/>
        </w:rPr>
        <w:t xml:space="preserve">clinical reasoning, decision-making, communication, and teamwork are further developed. In addition, physicians demonstrate professionalism and the ability to adapt to systems during those years. For example, </w:t>
      </w:r>
      <w:r w:rsidR="0071278D">
        <w:rPr>
          <w:rFonts w:ascii="Calibri" w:hAnsi="Calibri" w:cs="Calibri"/>
          <w:color w:val="000000" w:themeColor="text1"/>
        </w:rPr>
        <w:t xml:space="preserve">some </w:t>
      </w:r>
      <w:r w:rsidRPr="008B6918">
        <w:rPr>
          <w:rFonts w:ascii="Calibri" w:hAnsi="Calibri" w:cs="Calibri"/>
          <w:color w:val="000000" w:themeColor="text1"/>
        </w:rPr>
        <w:t xml:space="preserve">IMGs from Caribbean schools are hired to be “house staff” as hospitalists in different services such as NICU, ED, and PICU. </w:t>
      </w:r>
      <w:r w:rsidR="0071278D">
        <w:rPr>
          <w:rFonts w:ascii="Calibri" w:hAnsi="Calibri" w:cs="Calibri"/>
          <w:color w:val="000000" w:themeColor="text1"/>
        </w:rPr>
        <w:t>Observing</w:t>
      </w:r>
      <w:r w:rsidRPr="008B6918">
        <w:rPr>
          <w:rFonts w:ascii="Calibri" w:hAnsi="Calibri" w:cs="Calibri"/>
          <w:color w:val="000000" w:themeColor="text1"/>
        </w:rPr>
        <w:t xml:space="preserve"> descriptors in the ERAS application may </w:t>
      </w:r>
      <w:r w:rsidR="0071278D">
        <w:rPr>
          <w:rFonts w:ascii="Calibri" w:hAnsi="Calibri" w:cs="Calibri"/>
          <w:color w:val="000000" w:themeColor="text1"/>
        </w:rPr>
        <w:t>indicate</w:t>
      </w:r>
      <w:r w:rsidRPr="008B6918">
        <w:rPr>
          <w:rFonts w:ascii="Calibri" w:hAnsi="Calibri" w:cs="Calibri"/>
          <w:color w:val="000000" w:themeColor="text1"/>
        </w:rPr>
        <w:t xml:space="preserve"> clinical load and skills developed during th</w:t>
      </w:r>
      <w:r w:rsidR="0071278D">
        <w:rPr>
          <w:rFonts w:ascii="Calibri" w:hAnsi="Calibri" w:cs="Calibri"/>
          <w:color w:val="000000" w:themeColor="text1"/>
        </w:rPr>
        <w:t>at</w:t>
      </w:r>
      <w:r w:rsidRPr="008B6918">
        <w:rPr>
          <w:rFonts w:ascii="Calibri" w:hAnsi="Calibri" w:cs="Calibri"/>
          <w:color w:val="000000" w:themeColor="text1"/>
        </w:rPr>
        <w:t xml:space="preserve"> time</w:t>
      </w:r>
      <w:r>
        <w:rPr>
          <w:rFonts w:ascii="Calibri" w:hAnsi="Calibri" w:cs="Calibri"/>
          <w:color w:val="000000" w:themeColor="text1"/>
        </w:rPr>
        <w:t>.</w:t>
      </w:r>
    </w:p>
    <w:p w14:paraId="027DEFF6" w14:textId="62115429" w:rsidR="00E83AF9" w:rsidRDefault="00E83AF9" w:rsidP="008B6918">
      <w:pPr>
        <w:spacing w:after="0"/>
        <w:rPr>
          <w:rFonts w:cstheme="minorHAnsi"/>
          <w:color w:val="2F5496" w:themeColor="accent1" w:themeShade="BF"/>
        </w:rPr>
      </w:pPr>
    </w:p>
    <w:p w14:paraId="72CC6ECD" w14:textId="69BE8A03" w:rsidR="008B6918" w:rsidRPr="008B6918" w:rsidRDefault="008B6918" w:rsidP="008B6918">
      <w:pPr>
        <w:spacing w:after="0"/>
        <w:rPr>
          <w:rFonts w:cstheme="minorHAnsi"/>
          <w:color w:val="2F5496" w:themeColor="accent1" w:themeShade="BF"/>
        </w:rPr>
      </w:pPr>
      <w:r w:rsidRPr="008B6918">
        <w:rPr>
          <w:rFonts w:cstheme="minorHAnsi"/>
          <w:color w:val="2F5496" w:themeColor="accent1" w:themeShade="BF"/>
        </w:rPr>
        <w:t xml:space="preserve">Clinical Experiences </w:t>
      </w:r>
      <w:r>
        <w:rPr>
          <w:rFonts w:cstheme="minorHAnsi"/>
          <w:color w:val="2F5496" w:themeColor="accent1" w:themeShade="BF"/>
        </w:rPr>
        <w:t xml:space="preserve">in </w:t>
      </w:r>
      <w:r w:rsidR="002D5847">
        <w:rPr>
          <w:rFonts w:cstheme="minorHAnsi"/>
          <w:color w:val="2F5496" w:themeColor="accent1" w:themeShade="BF"/>
        </w:rPr>
        <w:t>the U</w:t>
      </w:r>
      <w:r w:rsidR="00985ED5">
        <w:rPr>
          <w:rFonts w:cstheme="minorHAnsi"/>
          <w:color w:val="2F5496" w:themeColor="accent1" w:themeShade="BF"/>
        </w:rPr>
        <w:t>.</w:t>
      </w:r>
      <w:r w:rsidR="002D5847">
        <w:rPr>
          <w:rFonts w:cstheme="minorHAnsi"/>
          <w:color w:val="2F5496" w:themeColor="accent1" w:themeShade="BF"/>
        </w:rPr>
        <w:t>S</w:t>
      </w:r>
      <w:r w:rsidR="00985ED5">
        <w:rPr>
          <w:rFonts w:cstheme="minorHAnsi"/>
          <w:color w:val="2F5496" w:themeColor="accent1" w:themeShade="BF"/>
        </w:rPr>
        <w:t>.</w:t>
      </w:r>
    </w:p>
    <w:p w14:paraId="23D1778E" w14:textId="5745FE72" w:rsidR="008B6918" w:rsidRPr="008B6918" w:rsidRDefault="008B6918" w:rsidP="00DC4460">
      <w:pPr>
        <w:spacing w:after="0"/>
        <w:rPr>
          <w:rFonts w:ascii="Calibri" w:hAnsi="Calibri" w:cs="Calibri"/>
        </w:rPr>
      </w:pPr>
      <w:r w:rsidRPr="008B6918">
        <w:rPr>
          <w:rFonts w:ascii="Calibri" w:hAnsi="Calibri" w:cs="Calibri"/>
          <w:color w:val="000000" w:themeColor="text1"/>
        </w:rPr>
        <w:t xml:space="preserve">IMG candidates gain exposure to the </w:t>
      </w:r>
      <w:r w:rsidR="00627E8C" w:rsidRPr="00ED1FD9">
        <w:rPr>
          <w:rFonts w:cstheme="minorHAnsi"/>
          <w:color w:val="000000" w:themeColor="text1"/>
          <w:shd w:val="clear" w:color="auto" w:fill="FFFFFF"/>
        </w:rPr>
        <w:t xml:space="preserve">U.S. </w:t>
      </w:r>
      <w:r w:rsidRPr="008B6918">
        <w:rPr>
          <w:rFonts w:ascii="Calibri" w:hAnsi="Calibri" w:cs="Calibri"/>
          <w:color w:val="000000" w:themeColor="text1"/>
        </w:rPr>
        <w:t xml:space="preserve">health system during medical school </w:t>
      </w:r>
      <w:r w:rsidR="0071278D">
        <w:rPr>
          <w:rFonts w:ascii="Calibri" w:hAnsi="Calibri" w:cs="Calibri"/>
          <w:color w:val="000000" w:themeColor="text1"/>
        </w:rPr>
        <w:t>through</w:t>
      </w:r>
      <w:r w:rsidRPr="008B6918">
        <w:rPr>
          <w:rFonts w:ascii="Calibri" w:hAnsi="Calibri" w:cs="Calibri"/>
          <w:color w:val="000000" w:themeColor="text1"/>
        </w:rPr>
        <w:t xml:space="preserve"> external rotations during internship year or </w:t>
      </w:r>
      <w:proofErr w:type="spellStart"/>
      <w:r w:rsidRPr="008B6918">
        <w:rPr>
          <w:rFonts w:ascii="Calibri" w:hAnsi="Calibri" w:cs="Calibri"/>
          <w:color w:val="000000" w:themeColor="text1"/>
        </w:rPr>
        <w:t>observerships</w:t>
      </w:r>
      <w:proofErr w:type="spellEnd"/>
      <w:r w:rsidRPr="008B6918">
        <w:rPr>
          <w:rFonts w:ascii="Calibri" w:hAnsi="Calibri" w:cs="Calibri"/>
          <w:color w:val="000000" w:themeColor="text1"/>
        </w:rPr>
        <w:t xml:space="preserve"> after graduation. Those </w:t>
      </w:r>
      <w:proofErr w:type="spellStart"/>
      <w:r w:rsidRPr="008B6918">
        <w:rPr>
          <w:rFonts w:ascii="Calibri" w:hAnsi="Calibri" w:cs="Calibri"/>
          <w:color w:val="000000" w:themeColor="text1"/>
        </w:rPr>
        <w:t>observerships</w:t>
      </w:r>
      <w:proofErr w:type="spellEnd"/>
      <w:r w:rsidRPr="008B6918">
        <w:rPr>
          <w:rFonts w:ascii="Calibri" w:hAnsi="Calibri" w:cs="Calibri"/>
          <w:color w:val="000000" w:themeColor="text1"/>
        </w:rPr>
        <w:t xml:space="preserve"> are highly diverse; they can be in the outpatient setting </w:t>
      </w:r>
      <w:r w:rsidR="002D5847">
        <w:rPr>
          <w:rFonts w:ascii="Calibri" w:hAnsi="Calibri" w:cs="Calibri"/>
          <w:color w:val="000000" w:themeColor="text1"/>
        </w:rPr>
        <w:t>i</w:t>
      </w:r>
      <w:r w:rsidRPr="008B6918">
        <w:rPr>
          <w:rFonts w:ascii="Calibri" w:hAnsi="Calibri" w:cs="Calibri"/>
          <w:color w:val="000000" w:themeColor="text1"/>
        </w:rPr>
        <w:t xml:space="preserve">n a private office “shadowing a physician” or in an academic institution in the inpatient or outpatient setting. The length of the experience also varies greatly. It is important to look at the description of their roles and workload during the time spent in </w:t>
      </w:r>
      <w:proofErr w:type="spellStart"/>
      <w:r w:rsidRPr="008B6918">
        <w:rPr>
          <w:rFonts w:ascii="Calibri" w:hAnsi="Calibri" w:cs="Calibri"/>
          <w:color w:val="000000" w:themeColor="text1"/>
        </w:rPr>
        <w:t>observerships</w:t>
      </w:r>
      <w:proofErr w:type="spellEnd"/>
      <w:r w:rsidR="0071278D">
        <w:rPr>
          <w:rFonts w:ascii="Calibri" w:hAnsi="Calibri" w:cs="Calibri"/>
          <w:color w:val="000000" w:themeColor="text1"/>
        </w:rPr>
        <w:t xml:space="preserve"> to assess what they may have learned and experienced</w:t>
      </w:r>
      <w:r w:rsidRPr="008B6918">
        <w:rPr>
          <w:rFonts w:ascii="Calibri" w:hAnsi="Calibri" w:cs="Calibri"/>
          <w:color w:val="000000" w:themeColor="text1"/>
        </w:rPr>
        <w:t>.</w:t>
      </w:r>
      <w:r w:rsidR="002D5847">
        <w:rPr>
          <w:rFonts w:ascii="Calibri" w:hAnsi="Calibri" w:cs="Calibri"/>
          <w:color w:val="000000" w:themeColor="text1"/>
        </w:rPr>
        <w:t xml:space="preserve"> Be aware of state-specific requirements. For example, New York State has the “12-week rule,” which </w:t>
      </w:r>
      <w:r w:rsidR="002D5847" w:rsidRPr="002D5847">
        <w:rPr>
          <w:rFonts w:ascii="Calibri" w:hAnsi="Calibri" w:cs="Calibri"/>
          <w:color w:val="000000" w:themeColor="text1"/>
        </w:rPr>
        <w:t>states that applicants cannot train in New York State if their medical school education included more than 12 weeks of clinical rotations outside of the country where their medical school is located</w:t>
      </w:r>
      <w:r w:rsidR="0071278D">
        <w:rPr>
          <w:rFonts w:ascii="Calibri" w:hAnsi="Calibri" w:cs="Calibri"/>
          <w:color w:val="000000" w:themeColor="text1"/>
        </w:rPr>
        <w:t>, excepting</w:t>
      </w:r>
      <w:r w:rsidR="002D5847">
        <w:rPr>
          <w:rFonts w:ascii="Calibri" w:hAnsi="Calibri" w:cs="Calibri"/>
          <w:color w:val="000000" w:themeColor="text1"/>
        </w:rPr>
        <w:t xml:space="preserve"> certain schools that have been pre-approved.</w:t>
      </w:r>
    </w:p>
    <w:p w14:paraId="1C3E5BFA" w14:textId="77777777" w:rsidR="007C2604" w:rsidRDefault="007C2604" w:rsidP="00DC4460">
      <w:pPr>
        <w:spacing w:after="0"/>
        <w:rPr>
          <w:rFonts w:cstheme="minorHAnsi"/>
        </w:rPr>
      </w:pPr>
    </w:p>
    <w:p w14:paraId="0DC83B36" w14:textId="0D1589BB" w:rsidR="007C2604" w:rsidRDefault="008B6918" w:rsidP="00DC4460">
      <w:pPr>
        <w:spacing w:after="0"/>
        <w:rPr>
          <w:rFonts w:cstheme="minorHAnsi"/>
        </w:rPr>
      </w:pPr>
      <w:r>
        <w:rPr>
          <w:rFonts w:cstheme="minorHAnsi"/>
          <w:color w:val="2F5496" w:themeColor="accent1" w:themeShade="BF"/>
        </w:rPr>
        <w:t>Research Experiences</w:t>
      </w:r>
    </w:p>
    <w:p w14:paraId="7442CC6C" w14:textId="340C1261" w:rsidR="008B6918" w:rsidRPr="008B6918" w:rsidRDefault="008B6918" w:rsidP="00DC4460">
      <w:pPr>
        <w:spacing w:after="0"/>
        <w:rPr>
          <w:rFonts w:ascii="Calibri" w:hAnsi="Calibri" w:cs="Calibri"/>
          <w:color w:val="000000" w:themeColor="text1"/>
        </w:rPr>
      </w:pPr>
      <w:r w:rsidRPr="008B6918">
        <w:rPr>
          <w:rFonts w:ascii="Calibri" w:hAnsi="Calibri" w:cs="Calibri"/>
          <w:color w:val="000000" w:themeColor="text1"/>
        </w:rPr>
        <w:t xml:space="preserve">IMG candidates may join </w:t>
      </w:r>
      <w:r w:rsidR="002D5847">
        <w:rPr>
          <w:rFonts w:ascii="Calibri" w:hAnsi="Calibri" w:cs="Calibri"/>
          <w:color w:val="000000" w:themeColor="text1"/>
        </w:rPr>
        <w:t xml:space="preserve">the </w:t>
      </w:r>
      <w:r w:rsidR="00627E8C" w:rsidRPr="00ED1FD9">
        <w:rPr>
          <w:rFonts w:cstheme="minorHAnsi"/>
          <w:color w:val="000000" w:themeColor="text1"/>
          <w:shd w:val="clear" w:color="auto" w:fill="FFFFFF"/>
        </w:rPr>
        <w:t xml:space="preserve">U.S. </w:t>
      </w:r>
      <w:r w:rsidRPr="008B6918">
        <w:rPr>
          <w:rFonts w:ascii="Calibri" w:hAnsi="Calibri" w:cs="Calibri"/>
          <w:color w:val="000000" w:themeColor="text1"/>
        </w:rPr>
        <w:t xml:space="preserve">health system by becoming research coordinators on-site or online </w:t>
      </w:r>
      <w:r w:rsidR="002D5847">
        <w:rPr>
          <w:rFonts w:ascii="Calibri" w:hAnsi="Calibri" w:cs="Calibri"/>
          <w:color w:val="000000" w:themeColor="text1"/>
        </w:rPr>
        <w:t>in which they</w:t>
      </w:r>
      <w:r w:rsidR="002D5847" w:rsidRPr="008B6918">
        <w:rPr>
          <w:rFonts w:ascii="Calibri" w:hAnsi="Calibri" w:cs="Calibri"/>
          <w:color w:val="000000" w:themeColor="text1"/>
        </w:rPr>
        <w:t xml:space="preserve"> </w:t>
      </w:r>
      <w:r w:rsidRPr="008B6918">
        <w:rPr>
          <w:rFonts w:ascii="Calibri" w:hAnsi="Calibri" w:cs="Calibri"/>
          <w:color w:val="000000" w:themeColor="text1"/>
        </w:rPr>
        <w:t>manag</w:t>
      </w:r>
      <w:r w:rsidR="002D5847">
        <w:rPr>
          <w:rFonts w:ascii="Calibri" w:hAnsi="Calibri" w:cs="Calibri"/>
          <w:color w:val="000000" w:themeColor="text1"/>
        </w:rPr>
        <w:t>e</w:t>
      </w:r>
      <w:r w:rsidRPr="008B6918">
        <w:rPr>
          <w:rFonts w:ascii="Calibri" w:hAnsi="Calibri" w:cs="Calibri"/>
          <w:color w:val="000000" w:themeColor="text1"/>
        </w:rPr>
        <w:t xml:space="preserve"> data, </w:t>
      </w:r>
      <w:r w:rsidR="00E83AF9" w:rsidRPr="008B6918">
        <w:rPr>
          <w:rFonts w:ascii="Calibri" w:hAnsi="Calibri" w:cs="Calibri"/>
          <w:color w:val="000000" w:themeColor="text1"/>
        </w:rPr>
        <w:t>consents,</w:t>
      </w:r>
      <w:r w:rsidRPr="008B6918">
        <w:rPr>
          <w:rFonts w:ascii="Calibri" w:hAnsi="Calibri" w:cs="Calibri"/>
          <w:color w:val="000000" w:themeColor="text1"/>
        </w:rPr>
        <w:t xml:space="preserve"> and statistics. During these experiences, they gain firsthand </w:t>
      </w:r>
      <w:r w:rsidR="00F95C8D">
        <w:rPr>
          <w:rFonts w:ascii="Calibri" w:hAnsi="Calibri" w:cs="Calibri"/>
          <w:color w:val="000000" w:themeColor="text1"/>
        </w:rPr>
        <w:t xml:space="preserve">local </w:t>
      </w:r>
      <w:r w:rsidRPr="008B6918">
        <w:rPr>
          <w:rFonts w:ascii="Calibri" w:hAnsi="Calibri" w:cs="Calibri"/>
          <w:color w:val="000000" w:themeColor="text1"/>
        </w:rPr>
        <w:t xml:space="preserve">teamwork experience. </w:t>
      </w:r>
    </w:p>
    <w:p w14:paraId="17A90421" w14:textId="77777777" w:rsidR="008B6918" w:rsidRDefault="008B6918" w:rsidP="00DC4460">
      <w:pPr>
        <w:spacing w:after="0"/>
        <w:rPr>
          <w:rFonts w:ascii="Arial" w:hAnsi="Arial" w:cs="Arial"/>
          <w:color w:val="000000" w:themeColor="text1"/>
        </w:rPr>
      </w:pPr>
    </w:p>
    <w:p w14:paraId="0E84F5C7" w14:textId="49D7FF90" w:rsidR="008B6918" w:rsidRDefault="008B6918" w:rsidP="008B6918">
      <w:pPr>
        <w:spacing w:after="0"/>
        <w:rPr>
          <w:rFonts w:cstheme="minorHAnsi"/>
          <w:color w:val="2F5496" w:themeColor="accent1" w:themeShade="BF"/>
        </w:rPr>
      </w:pPr>
      <w:r>
        <w:rPr>
          <w:rFonts w:cstheme="minorHAnsi"/>
          <w:color w:val="2F5496" w:themeColor="accent1" w:themeShade="BF"/>
        </w:rPr>
        <w:t>Additional Training</w:t>
      </w:r>
    </w:p>
    <w:p w14:paraId="64FD5FD9" w14:textId="414651C9" w:rsidR="008B6918" w:rsidRPr="008B6918" w:rsidRDefault="008B6918" w:rsidP="008B6918">
      <w:pPr>
        <w:rPr>
          <w:rFonts w:ascii="Calibri" w:hAnsi="Calibri" w:cs="Calibri"/>
          <w:color w:val="000000" w:themeColor="text1"/>
        </w:rPr>
      </w:pPr>
      <w:r w:rsidRPr="0017034C">
        <w:rPr>
          <w:rFonts w:ascii="Calibri" w:hAnsi="Calibri" w:cs="Calibri"/>
          <w:b/>
          <w:bCs/>
          <w:color w:val="000000" w:themeColor="text1"/>
        </w:rPr>
        <w:t xml:space="preserve">Residency training </w:t>
      </w:r>
      <w:r w:rsidR="002D5847" w:rsidRPr="0017034C">
        <w:rPr>
          <w:rFonts w:ascii="Calibri" w:hAnsi="Calibri" w:cs="Calibri"/>
          <w:b/>
          <w:bCs/>
          <w:color w:val="000000" w:themeColor="text1"/>
        </w:rPr>
        <w:t>in</w:t>
      </w:r>
      <w:r w:rsidRPr="0017034C">
        <w:rPr>
          <w:rFonts w:ascii="Calibri" w:hAnsi="Calibri" w:cs="Calibri"/>
          <w:b/>
          <w:bCs/>
          <w:color w:val="000000" w:themeColor="text1"/>
        </w:rPr>
        <w:t xml:space="preserve"> native country</w:t>
      </w:r>
      <w:r w:rsidR="002D5847">
        <w:rPr>
          <w:rFonts w:ascii="Calibri" w:hAnsi="Calibri" w:cs="Calibri"/>
          <w:b/>
          <w:bCs/>
          <w:color w:val="000000" w:themeColor="text1"/>
        </w:rPr>
        <w:t>:</w:t>
      </w:r>
      <w:r w:rsidRPr="008B6918">
        <w:rPr>
          <w:rFonts w:ascii="Calibri" w:hAnsi="Calibri" w:cs="Calibri"/>
          <w:color w:val="000000" w:themeColor="text1"/>
        </w:rPr>
        <w:t xml:space="preserve"> IMGs may have already completed a residency in their country </w:t>
      </w:r>
      <w:r w:rsidR="00F95C8D">
        <w:rPr>
          <w:rFonts w:ascii="Calibri" w:hAnsi="Calibri" w:cs="Calibri"/>
          <w:color w:val="000000" w:themeColor="text1"/>
        </w:rPr>
        <w:t>and/or</w:t>
      </w:r>
      <w:r w:rsidRPr="008B6918">
        <w:rPr>
          <w:rFonts w:ascii="Calibri" w:hAnsi="Calibri" w:cs="Calibri"/>
          <w:color w:val="000000" w:themeColor="text1"/>
        </w:rPr>
        <w:t xml:space="preserve"> have worked in specialized </w:t>
      </w:r>
      <w:r w:rsidR="00F95C8D">
        <w:rPr>
          <w:rFonts w:ascii="Calibri" w:hAnsi="Calibri" w:cs="Calibri"/>
          <w:color w:val="000000" w:themeColor="text1"/>
        </w:rPr>
        <w:t>fields</w:t>
      </w:r>
      <w:r w:rsidRPr="008B6918">
        <w:rPr>
          <w:rFonts w:ascii="Calibri" w:hAnsi="Calibri" w:cs="Calibri"/>
          <w:color w:val="000000" w:themeColor="text1"/>
        </w:rPr>
        <w:t>. Of note, residency training may not be evident in the “education tab” in</w:t>
      </w:r>
      <w:r w:rsidR="002D5847">
        <w:rPr>
          <w:rFonts w:ascii="Calibri" w:hAnsi="Calibri" w:cs="Calibri"/>
          <w:color w:val="000000" w:themeColor="text1"/>
        </w:rPr>
        <w:t xml:space="preserve"> the</w:t>
      </w:r>
      <w:r w:rsidRPr="008B6918">
        <w:rPr>
          <w:rFonts w:ascii="Calibri" w:hAnsi="Calibri" w:cs="Calibri"/>
          <w:color w:val="000000" w:themeColor="text1"/>
        </w:rPr>
        <w:t xml:space="preserve"> ERAS application</w:t>
      </w:r>
      <w:r w:rsidR="00F95C8D">
        <w:rPr>
          <w:rFonts w:ascii="Calibri" w:hAnsi="Calibri" w:cs="Calibri"/>
          <w:color w:val="000000" w:themeColor="text1"/>
        </w:rPr>
        <w:t xml:space="preserve"> but could appear in “</w:t>
      </w:r>
      <w:r w:rsidRPr="008B6918">
        <w:rPr>
          <w:rFonts w:ascii="Calibri" w:hAnsi="Calibri" w:cs="Calibri"/>
          <w:color w:val="000000" w:themeColor="text1"/>
        </w:rPr>
        <w:t>experiences</w:t>
      </w:r>
      <w:r w:rsidR="00F95C8D">
        <w:rPr>
          <w:rFonts w:ascii="Calibri" w:hAnsi="Calibri" w:cs="Calibri"/>
          <w:color w:val="000000" w:themeColor="text1"/>
        </w:rPr>
        <w:t>”</w:t>
      </w:r>
      <w:r w:rsidRPr="008B6918">
        <w:rPr>
          <w:rFonts w:ascii="Calibri" w:hAnsi="Calibri" w:cs="Calibri"/>
          <w:color w:val="000000" w:themeColor="text1"/>
        </w:rPr>
        <w:t xml:space="preserve"> or </w:t>
      </w:r>
      <w:r w:rsidR="00F95C8D">
        <w:rPr>
          <w:rFonts w:ascii="Calibri" w:hAnsi="Calibri" w:cs="Calibri"/>
          <w:color w:val="000000" w:themeColor="text1"/>
        </w:rPr>
        <w:t>in</w:t>
      </w:r>
      <w:r w:rsidRPr="008B6918">
        <w:rPr>
          <w:rFonts w:ascii="Calibri" w:hAnsi="Calibri" w:cs="Calibri"/>
          <w:color w:val="000000" w:themeColor="text1"/>
        </w:rPr>
        <w:t xml:space="preserve"> the CV. </w:t>
      </w:r>
      <w:r w:rsidR="00F95C8D">
        <w:rPr>
          <w:rFonts w:ascii="Calibri" w:hAnsi="Calibri" w:cs="Calibri"/>
          <w:color w:val="000000" w:themeColor="text1"/>
        </w:rPr>
        <w:t>A</w:t>
      </w:r>
      <w:r w:rsidRPr="008B6918">
        <w:rPr>
          <w:rFonts w:ascii="Calibri" w:hAnsi="Calibri" w:cs="Calibri"/>
          <w:color w:val="000000" w:themeColor="text1"/>
        </w:rPr>
        <w:t>ddition</w:t>
      </w:r>
      <w:r w:rsidR="00F95C8D">
        <w:rPr>
          <w:rFonts w:ascii="Calibri" w:hAnsi="Calibri" w:cs="Calibri"/>
          <w:color w:val="000000" w:themeColor="text1"/>
        </w:rPr>
        <w:t>ally</w:t>
      </w:r>
      <w:r w:rsidRPr="008B6918">
        <w:rPr>
          <w:rFonts w:ascii="Calibri" w:hAnsi="Calibri" w:cs="Calibri"/>
          <w:color w:val="000000" w:themeColor="text1"/>
        </w:rPr>
        <w:t xml:space="preserve">, </w:t>
      </w:r>
      <w:r w:rsidR="00F95C8D">
        <w:rPr>
          <w:rFonts w:ascii="Calibri" w:hAnsi="Calibri" w:cs="Calibri"/>
          <w:color w:val="000000" w:themeColor="text1"/>
        </w:rPr>
        <w:lastRenderedPageBreak/>
        <w:t xml:space="preserve">international </w:t>
      </w:r>
      <w:r w:rsidRPr="008B6918">
        <w:rPr>
          <w:rFonts w:ascii="Calibri" w:hAnsi="Calibri" w:cs="Calibri"/>
          <w:color w:val="000000" w:themeColor="text1"/>
        </w:rPr>
        <w:t>subspecial</w:t>
      </w:r>
      <w:r w:rsidR="00F95C8D">
        <w:rPr>
          <w:rFonts w:ascii="Calibri" w:hAnsi="Calibri" w:cs="Calibri"/>
          <w:color w:val="000000" w:themeColor="text1"/>
        </w:rPr>
        <w:t>ty</w:t>
      </w:r>
      <w:r w:rsidRPr="008B6918">
        <w:rPr>
          <w:rFonts w:ascii="Calibri" w:hAnsi="Calibri" w:cs="Calibri"/>
          <w:color w:val="000000" w:themeColor="text1"/>
        </w:rPr>
        <w:t xml:space="preserve"> training varies highly </w:t>
      </w:r>
      <w:r w:rsidR="00F95C8D">
        <w:rPr>
          <w:rFonts w:ascii="Calibri" w:hAnsi="Calibri" w:cs="Calibri"/>
          <w:color w:val="000000" w:themeColor="text1"/>
        </w:rPr>
        <w:t xml:space="preserve">regarding clinical time, accreditation steps, and research requirements. </w:t>
      </w:r>
    </w:p>
    <w:p w14:paraId="6752EACF" w14:textId="2248A805" w:rsidR="008B6918" w:rsidRPr="008B6918" w:rsidRDefault="008B6918" w:rsidP="008B6918">
      <w:pPr>
        <w:rPr>
          <w:rFonts w:ascii="Calibri" w:hAnsi="Calibri" w:cs="Calibri"/>
          <w:color w:val="000000" w:themeColor="text1"/>
        </w:rPr>
      </w:pPr>
      <w:r w:rsidRPr="0017034C">
        <w:rPr>
          <w:rFonts w:ascii="Calibri" w:hAnsi="Calibri" w:cs="Calibri"/>
          <w:b/>
          <w:bCs/>
          <w:color w:val="000000" w:themeColor="text1"/>
        </w:rPr>
        <w:t>MPH or other advance degrees</w:t>
      </w:r>
      <w:r w:rsidR="002D5847">
        <w:rPr>
          <w:rFonts w:ascii="Calibri" w:hAnsi="Calibri" w:cs="Calibri"/>
          <w:b/>
          <w:bCs/>
          <w:color w:val="000000" w:themeColor="text1"/>
        </w:rPr>
        <w:t>:</w:t>
      </w:r>
      <w:r w:rsidRPr="008B6918">
        <w:rPr>
          <w:rFonts w:ascii="Calibri" w:hAnsi="Calibri" w:cs="Calibri"/>
          <w:color w:val="000000" w:themeColor="text1"/>
        </w:rPr>
        <w:t xml:space="preserve"> IMG</w:t>
      </w:r>
      <w:r w:rsidR="002D5847">
        <w:rPr>
          <w:rFonts w:ascii="Calibri" w:hAnsi="Calibri" w:cs="Calibri"/>
          <w:color w:val="000000" w:themeColor="text1"/>
        </w:rPr>
        <w:t>s</w:t>
      </w:r>
      <w:r w:rsidRPr="008B6918">
        <w:rPr>
          <w:rFonts w:ascii="Calibri" w:hAnsi="Calibri" w:cs="Calibri"/>
          <w:color w:val="000000" w:themeColor="text1"/>
        </w:rPr>
        <w:t xml:space="preserve"> may complete other advance studies such</w:t>
      </w:r>
      <w:r w:rsidR="002D5847">
        <w:rPr>
          <w:rFonts w:ascii="Calibri" w:hAnsi="Calibri" w:cs="Calibri"/>
          <w:color w:val="000000" w:themeColor="text1"/>
        </w:rPr>
        <w:t xml:space="preserve"> as</w:t>
      </w:r>
      <w:r w:rsidRPr="008B6918">
        <w:rPr>
          <w:rFonts w:ascii="Calibri" w:hAnsi="Calibri" w:cs="Calibri"/>
          <w:color w:val="000000" w:themeColor="text1"/>
        </w:rPr>
        <w:t xml:space="preserve"> an MPH in the </w:t>
      </w:r>
      <w:r w:rsidR="00627E8C" w:rsidRPr="00ED1FD9">
        <w:rPr>
          <w:rFonts w:cstheme="minorHAnsi"/>
          <w:color w:val="000000" w:themeColor="text1"/>
          <w:shd w:val="clear" w:color="auto" w:fill="FFFFFF"/>
        </w:rPr>
        <w:t xml:space="preserve">U.S. </w:t>
      </w:r>
      <w:r w:rsidRPr="008B6918">
        <w:rPr>
          <w:rFonts w:ascii="Calibri" w:hAnsi="Calibri" w:cs="Calibri"/>
          <w:color w:val="000000" w:themeColor="text1"/>
        </w:rPr>
        <w:t xml:space="preserve">to be familiar </w:t>
      </w:r>
      <w:r w:rsidR="0017034C">
        <w:rPr>
          <w:rFonts w:ascii="Calibri" w:hAnsi="Calibri" w:cs="Calibri"/>
          <w:color w:val="000000" w:themeColor="text1"/>
        </w:rPr>
        <w:t xml:space="preserve">with </w:t>
      </w:r>
      <w:r w:rsidRPr="008B6918">
        <w:rPr>
          <w:rFonts w:ascii="Calibri" w:hAnsi="Calibri" w:cs="Calibri"/>
          <w:color w:val="000000" w:themeColor="text1"/>
        </w:rPr>
        <w:t xml:space="preserve">and gain exposure to the </w:t>
      </w:r>
      <w:r w:rsidR="00627E8C" w:rsidRPr="00ED1FD9">
        <w:rPr>
          <w:rFonts w:cstheme="minorHAnsi"/>
          <w:color w:val="000000" w:themeColor="text1"/>
          <w:shd w:val="clear" w:color="auto" w:fill="FFFFFF"/>
        </w:rPr>
        <w:t xml:space="preserve">U.S. </w:t>
      </w:r>
      <w:r w:rsidRPr="008B6918">
        <w:rPr>
          <w:rFonts w:ascii="Calibri" w:hAnsi="Calibri" w:cs="Calibri"/>
          <w:color w:val="000000" w:themeColor="text1"/>
        </w:rPr>
        <w:t xml:space="preserve">healthcare system. They </w:t>
      </w:r>
      <w:r w:rsidR="00F95C8D">
        <w:rPr>
          <w:rFonts w:ascii="Calibri" w:hAnsi="Calibri" w:cs="Calibri"/>
          <w:color w:val="000000" w:themeColor="text1"/>
        </w:rPr>
        <w:t>may</w:t>
      </w:r>
      <w:r w:rsidR="00F95C8D" w:rsidRPr="008B6918">
        <w:rPr>
          <w:rFonts w:ascii="Calibri" w:hAnsi="Calibri" w:cs="Calibri"/>
          <w:color w:val="000000" w:themeColor="text1"/>
        </w:rPr>
        <w:t xml:space="preserve"> </w:t>
      </w:r>
      <w:r w:rsidRPr="008B6918">
        <w:rPr>
          <w:rFonts w:ascii="Calibri" w:hAnsi="Calibri" w:cs="Calibri"/>
          <w:color w:val="000000" w:themeColor="text1"/>
        </w:rPr>
        <w:t>have expos</w:t>
      </w:r>
      <w:r w:rsidR="00F95C8D">
        <w:rPr>
          <w:rFonts w:ascii="Calibri" w:hAnsi="Calibri" w:cs="Calibri"/>
          <w:color w:val="000000" w:themeColor="text1"/>
        </w:rPr>
        <w:t>ure</w:t>
      </w:r>
      <w:r w:rsidRPr="008B6918">
        <w:rPr>
          <w:rFonts w:ascii="Calibri" w:hAnsi="Calibri" w:cs="Calibri"/>
          <w:color w:val="000000" w:themeColor="text1"/>
        </w:rPr>
        <w:t xml:space="preserve"> to </w:t>
      </w:r>
      <w:r w:rsidR="00627E8C" w:rsidRPr="00ED1FD9">
        <w:rPr>
          <w:rFonts w:cstheme="minorHAnsi"/>
          <w:color w:val="000000" w:themeColor="text1"/>
          <w:shd w:val="clear" w:color="auto" w:fill="FFFFFF"/>
        </w:rPr>
        <w:t xml:space="preserve">U.S. </w:t>
      </w:r>
      <w:r w:rsidRPr="008B6918">
        <w:rPr>
          <w:rFonts w:ascii="Calibri" w:hAnsi="Calibri" w:cs="Calibri"/>
          <w:color w:val="000000" w:themeColor="text1"/>
        </w:rPr>
        <w:t>teamwork and communication styles.</w:t>
      </w:r>
    </w:p>
    <w:p w14:paraId="43AF0EC4" w14:textId="20B082A8" w:rsidR="008B6918" w:rsidRPr="008B6918" w:rsidRDefault="008B6918" w:rsidP="008B6918">
      <w:pPr>
        <w:spacing w:after="0"/>
        <w:rPr>
          <w:rFonts w:ascii="Cambria" w:hAnsi="Cambria" w:cstheme="minorHAnsi"/>
          <w:i/>
          <w:iCs/>
          <w:color w:val="2F5496" w:themeColor="accent1" w:themeShade="BF"/>
          <w:sz w:val="24"/>
          <w:szCs w:val="24"/>
        </w:rPr>
      </w:pPr>
      <w:r w:rsidRPr="008B6918">
        <w:rPr>
          <w:rFonts w:ascii="Cambria" w:hAnsi="Cambria" w:cstheme="minorHAnsi"/>
          <w:i/>
          <w:iCs/>
          <w:color w:val="2F5496" w:themeColor="accent1" w:themeShade="BF"/>
          <w:sz w:val="24"/>
          <w:szCs w:val="24"/>
        </w:rPr>
        <w:t>Attributes</w:t>
      </w:r>
    </w:p>
    <w:p w14:paraId="125EE01F" w14:textId="1AD04C6A" w:rsidR="008B6918" w:rsidRPr="008B6918" w:rsidRDefault="008B6918" w:rsidP="008B6918">
      <w:pPr>
        <w:spacing w:after="0"/>
        <w:rPr>
          <w:rFonts w:cstheme="minorHAnsi"/>
        </w:rPr>
      </w:pPr>
      <w:r w:rsidRPr="008B6918">
        <w:rPr>
          <w:rFonts w:cstheme="minorHAnsi"/>
          <w:color w:val="000000" w:themeColor="text1"/>
        </w:rPr>
        <w:t>This area is directly linked to the experiences they may have.</w:t>
      </w:r>
      <w:r w:rsidR="00F95C8D">
        <w:rPr>
          <w:rFonts w:cstheme="minorHAnsi"/>
          <w:color w:val="000000" w:themeColor="text1"/>
        </w:rPr>
        <w:t xml:space="preserve"> Programs should </w:t>
      </w:r>
      <w:r w:rsidRPr="008B6918">
        <w:rPr>
          <w:rFonts w:cstheme="minorHAnsi"/>
          <w:color w:val="000000" w:themeColor="text1"/>
        </w:rPr>
        <w:t>establish priorities</w:t>
      </w:r>
      <w:r w:rsidR="00F95C8D">
        <w:rPr>
          <w:rFonts w:cstheme="minorHAnsi"/>
          <w:color w:val="000000" w:themeColor="text1"/>
        </w:rPr>
        <w:t xml:space="preserve"> they want in their trainees to match with applicants.</w:t>
      </w:r>
      <w:r w:rsidRPr="008B6918">
        <w:rPr>
          <w:rFonts w:cstheme="minorHAnsi"/>
          <w:color w:val="000000" w:themeColor="text1"/>
        </w:rPr>
        <w:t xml:space="preserve"> </w:t>
      </w:r>
    </w:p>
    <w:p w14:paraId="659CA830" w14:textId="77777777" w:rsidR="008B6918" w:rsidRDefault="008B6918" w:rsidP="00DC4460">
      <w:pPr>
        <w:spacing w:after="0"/>
        <w:rPr>
          <w:rFonts w:ascii="Arial" w:hAnsi="Arial" w:cs="Arial"/>
          <w:color w:val="000000" w:themeColor="text1"/>
        </w:rPr>
      </w:pPr>
    </w:p>
    <w:p w14:paraId="63A3FFD6" w14:textId="1310D422" w:rsidR="008B6918" w:rsidRPr="008B6918" w:rsidRDefault="008B6918" w:rsidP="00DC4460">
      <w:pPr>
        <w:spacing w:after="0"/>
        <w:rPr>
          <w:rFonts w:ascii="Cambria" w:hAnsi="Cambria" w:cstheme="minorHAnsi"/>
          <w:i/>
          <w:iCs/>
          <w:color w:val="2F5496" w:themeColor="accent1" w:themeShade="BF"/>
          <w:sz w:val="24"/>
          <w:szCs w:val="24"/>
        </w:rPr>
      </w:pPr>
      <w:r w:rsidRPr="008B6918">
        <w:rPr>
          <w:rFonts w:ascii="Cambria" w:hAnsi="Cambria" w:cstheme="minorHAnsi"/>
          <w:i/>
          <w:iCs/>
          <w:color w:val="2F5496" w:themeColor="accent1" w:themeShade="BF"/>
          <w:sz w:val="24"/>
          <w:szCs w:val="24"/>
        </w:rPr>
        <w:t>Metrics</w:t>
      </w:r>
    </w:p>
    <w:p w14:paraId="0096E555" w14:textId="448BABD0" w:rsidR="008B6918" w:rsidRPr="008B6918" w:rsidRDefault="008B6918" w:rsidP="008B6918">
      <w:pPr>
        <w:rPr>
          <w:rFonts w:ascii="Calibri" w:hAnsi="Calibri" w:cs="Calibri"/>
          <w:color w:val="000000" w:themeColor="text1"/>
        </w:rPr>
      </w:pPr>
      <w:r w:rsidRPr="0017034C">
        <w:rPr>
          <w:rFonts w:ascii="Calibri" w:hAnsi="Calibri" w:cs="Calibri"/>
          <w:b/>
          <w:bCs/>
          <w:color w:val="000000" w:themeColor="text1"/>
        </w:rPr>
        <w:t>School performance</w:t>
      </w:r>
      <w:r w:rsidR="002D5847">
        <w:rPr>
          <w:rFonts w:ascii="Calibri" w:hAnsi="Calibri" w:cs="Calibri"/>
          <w:color w:val="000000" w:themeColor="text1"/>
        </w:rPr>
        <w:t>:</w:t>
      </w:r>
      <w:r w:rsidRPr="008B6918">
        <w:rPr>
          <w:rFonts w:ascii="Calibri" w:hAnsi="Calibri" w:cs="Calibri"/>
          <w:color w:val="000000" w:themeColor="text1"/>
        </w:rPr>
        <w:t xml:space="preserve"> Medical school training varies significantly across the globe, and while many leading international schools are beginning to adopt the </w:t>
      </w:r>
      <w:r w:rsidR="00627E8C" w:rsidRPr="00ED1FD9">
        <w:rPr>
          <w:rFonts w:cstheme="minorHAnsi"/>
          <w:color w:val="000000" w:themeColor="text1"/>
          <w:shd w:val="clear" w:color="auto" w:fill="FFFFFF"/>
        </w:rPr>
        <w:t xml:space="preserve">U.S. </w:t>
      </w:r>
      <w:r w:rsidRPr="008B6918">
        <w:rPr>
          <w:rFonts w:ascii="Calibri" w:hAnsi="Calibri" w:cs="Calibri"/>
          <w:color w:val="000000" w:themeColor="text1"/>
        </w:rPr>
        <w:t>format for Medical Student Performance Evaluation</w:t>
      </w:r>
      <w:r w:rsidR="002D5847">
        <w:rPr>
          <w:rFonts w:ascii="Calibri" w:hAnsi="Calibri" w:cs="Calibri"/>
          <w:color w:val="000000" w:themeColor="text1"/>
        </w:rPr>
        <w:t xml:space="preserve"> (MSPE</w:t>
      </w:r>
      <w:r w:rsidRPr="008B6918">
        <w:rPr>
          <w:rFonts w:ascii="Calibri" w:hAnsi="Calibri" w:cs="Calibri"/>
          <w:color w:val="000000" w:themeColor="text1"/>
        </w:rPr>
        <w:t xml:space="preserve">) reporting, assessing MSPEs from </w:t>
      </w:r>
      <w:r w:rsidR="00F95C8D">
        <w:rPr>
          <w:rFonts w:ascii="Calibri" w:hAnsi="Calibri" w:cs="Calibri"/>
          <w:color w:val="000000" w:themeColor="text1"/>
        </w:rPr>
        <w:t>international</w:t>
      </w:r>
      <w:r w:rsidR="00F95C8D" w:rsidRPr="008B6918">
        <w:rPr>
          <w:rFonts w:ascii="Calibri" w:hAnsi="Calibri" w:cs="Calibri"/>
          <w:color w:val="000000" w:themeColor="text1"/>
        </w:rPr>
        <w:t xml:space="preserve"> </w:t>
      </w:r>
      <w:r w:rsidRPr="008B6918">
        <w:rPr>
          <w:rFonts w:ascii="Calibri" w:hAnsi="Calibri" w:cs="Calibri"/>
          <w:color w:val="000000" w:themeColor="text1"/>
        </w:rPr>
        <w:t>institutions can still present challenges. Most international applicants provide a summary of grades obtained by subject during their training with only a portion offering an MSPE-style summary. The variability in the information provided is considerable</w:t>
      </w:r>
      <w:r w:rsidR="00F95C8D">
        <w:rPr>
          <w:rFonts w:ascii="Calibri" w:hAnsi="Calibri" w:cs="Calibri"/>
          <w:color w:val="000000" w:themeColor="text1"/>
        </w:rPr>
        <w:t>,</w:t>
      </w:r>
      <w:r w:rsidRPr="008B6918">
        <w:rPr>
          <w:rFonts w:ascii="Calibri" w:hAnsi="Calibri" w:cs="Calibri"/>
          <w:color w:val="000000" w:themeColor="text1"/>
        </w:rPr>
        <w:t xml:space="preserve"> with many documents primarily focusing on clinical experiences and grades. To effectively evaluate these reports, it is essential to familiarize </w:t>
      </w:r>
      <w:r w:rsidR="00F95C8D">
        <w:rPr>
          <w:rFonts w:ascii="Calibri" w:hAnsi="Calibri" w:cs="Calibri"/>
          <w:color w:val="000000" w:themeColor="text1"/>
        </w:rPr>
        <w:t>oneself</w:t>
      </w:r>
      <w:r w:rsidR="00F95C8D" w:rsidRPr="008B6918">
        <w:rPr>
          <w:rFonts w:ascii="Calibri" w:hAnsi="Calibri" w:cs="Calibri"/>
          <w:color w:val="000000" w:themeColor="text1"/>
        </w:rPr>
        <w:t xml:space="preserve"> </w:t>
      </w:r>
      <w:r w:rsidRPr="008B6918">
        <w:rPr>
          <w:rFonts w:ascii="Calibri" w:hAnsi="Calibri" w:cs="Calibri"/>
          <w:color w:val="000000" w:themeColor="text1"/>
        </w:rPr>
        <w:t>with different medical schools from various regions by reviewing their accreditation status, rankings, and feedback from local faculty. Over time, program</w:t>
      </w:r>
      <w:r w:rsidR="00F95C8D">
        <w:rPr>
          <w:rFonts w:ascii="Calibri" w:hAnsi="Calibri" w:cs="Calibri"/>
          <w:color w:val="000000" w:themeColor="text1"/>
        </w:rPr>
        <w:t>s</w:t>
      </w:r>
      <w:r w:rsidRPr="008B6918">
        <w:rPr>
          <w:rFonts w:ascii="Calibri" w:hAnsi="Calibri" w:cs="Calibri"/>
          <w:color w:val="000000" w:themeColor="text1"/>
        </w:rPr>
        <w:t xml:space="preserve"> build valuable experience in assessing these diverse educational backgrounds.</w:t>
      </w:r>
    </w:p>
    <w:p w14:paraId="37E88EEC" w14:textId="1E1CFB93" w:rsidR="008B6918" w:rsidRPr="008B6918" w:rsidRDefault="008B6918" w:rsidP="008B6918">
      <w:pPr>
        <w:rPr>
          <w:rFonts w:ascii="Calibri" w:hAnsi="Calibri" w:cs="Calibri"/>
          <w:color w:val="000000" w:themeColor="text1"/>
          <w:shd w:val="clear" w:color="auto" w:fill="FFFFFF"/>
        </w:rPr>
      </w:pPr>
      <w:r w:rsidRPr="0017034C">
        <w:rPr>
          <w:rFonts w:ascii="Calibri" w:hAnsi="Calibri" w:cs="Calibri"/>
          <w:b/>
          <w:bCs/>
          <w:color w:val="000000" w:themeColor="text1"/>
        </w:rPr>
        <w:t>USMLE</w:t>
      </w:r>
      <w:r w:rsidR="00BC2565">
        <w:rPr>
          <w:rFonts w:ascii="Calibri" w:hAnsi="Calibri" w:cs="Calibri"/>
          <w:color w:val="000000" w:themeColor="text1"/>
        </w:rPr>
        <w:t>:</w:t>
      </w:r>
      <w:r w:rsidRPr="008B6918">
        <w:rPr>
          <w:rFonts w:ascii="Calibri" w:hAnsi="Calibri" w:cs="Calibri"/>
          <w:color w:val="000000" w:themeColor="text1"/>
        </w:rPr>
        <w:t xml:space="preserve"> Every </w:t>
      </w:r>
      <w:r w:rsidR="00BC2565">
        <w:rPr>
          <w:rFonts w:ascii="Calibri" w:hAnsi="Calibri" w:cs="Calibri"/>
          <w:color w:val="000000" w:themeColor="text1"/>
        </w:rPr>
        <w:t>IMG</w:t>
      </w:r>
      <w:r w:rsidRPr="008B6918">
        <w:rPr>
          <w:rFonts w:ascii="Calibri" w:hAnsi="Calibri" w:cs="Calibri"/>
          <w:color w:val="000000" w:themeColor="text1"/>
        </w:rPr>
        <w:t xml:space="preserve"> must obtain an Educational Commissioner for Foreign Medical Graduates</w:t>
      </w:r>
      <w:r w:rsidR="00BC2565">
        <w:rPr>
          <w:rFonts w:ascii="Calibri" w:hAnsi="Calibri" w:cs="Calibri"/>
          <w:color w:val="000000" w:themeColor="text1"/>
        </w:rPr>
        <w:t xml:space="preserve"> (ECFMG</w:t>
      </w:r>
      <w:r w:rsidRPr="008B6918">
        <w:rPr>
          <w:rFonts w:ascii="Calibri" w:hAnsi="Calibri" w:cs="Calibri"/>
          <w:color w:val="000000" w:themeColor="text1"/>
        </w:rPr>
        <w:t xml:space="preserve">) certificate to participate in ERAS. </w:t>
      </w:r>
      <w:hyperlink r:id="rId8" w:anchor=":~:text=ECFMG%20Certification%20assures%20directors%20of,eligibility%20to%20enter%20such%20programs" w:history="1">
        <w:r w:rsidRPr="008B6918">
          <w:rPr>
            <w:rStyle w:val="Hyperlink"/>
            <w:rFonts w:ascii="Calibri" w:hAnsi="Calibri" w:cs="Calibri"/>
            <w:shd w:val="clear" w:color="auto" w:fill="FFFFFF"/>
          </w:rPr>
          <w:t>ECFMG Certification</w:t>
        </w:r>
      </w:hyperlink>
      <w:r w:rsidRPr="008B6918">
        <w:rPr>
          <w:rFonts w:ascii="Calibri" w:hAnsi="Calibri" w:cs="Calibri"/>
          <w:color w:val="000000" w:themeColor="text1"/>
          <w:shd w:val="clear" w:color="auto" w:fill="FFFFFF"/>
        </w:rPr>
        <w:t xml:space="preserve"> provides assurance to directors of ACGME-accredited residency and fellowship programs, as well as to the American public, that </w:t>
      </w:r>
      <w:r w:rsidR="00BC2565">
        <w:rPr>
          <w:rFonts w:ascii="Calibri" w:hAnsi="Calibri" w:cs="Calibri"/>
          <w:color w:val="000000" w:themeColor="text1"/>
          <w:shd w:val="clear" w:color="auto" w:fill="FFFFFF"/>
        </w:rPr>
        <w:t>IMGs</w:t>
      </w:r>
      <w:r w:rsidRPr="008B6918">
        <w:rPr>
          <w:rFonts w:ascii="Calibri" w:hAnsi="Calibri" w:cs="Calibri"/>
          <w:color w:val="000000" w:themeColor="text1"/>
          <w:shd w:val="clear" w:color="auto" w:fill="FFFFFF"/>
        </w:rPr>
        <w:t xml:space="preserve"> have met the essential eligibility criteria to participate in these programs. </w:t>
      </w:r>
      <w:r w:rsidRPr="008B6918">
        <w:rPr>
          <w:rFonts w:ascii="Calibri" w:hAnsi="Calibri" w:cs="Calibri"/>
          <w:color w:val="000000" w:themeColor="text1"/>
        </w:rPr>
        <w:t xml:space="preserve">Using USMLE </w:t>
      </w:r>
      <w:r w:rsidR="00BC2565">
        <w:rPr>
          <w:rFonts w:ascii="Calibri" w:hAnsi="Calibri" w:cs="Calibri"/>
          <w:color w:val="000000" w:themeColor="text1"/>
        </w:rPr>
        <w:t>scores</w:t>
      </w:r>
      <w:r w:rsidR="00BC2565" w:rsidRPr="008B6918">
        <w:rPr>
          <w:rFonts w:ascii="Calibri" w:hAnsi="Calibri" w:cs="Calibri"/>
          <w:color w:val="000000" w:themeColor="text1"/>
        </w:rPr>
        <w:t xml:space="preserve"> </w:t>
      </w:r>
      <w:r w:rsidR="00F95C8D">
        <w:rPr>
          <w:rFonts w:ascii="Calibri" w:hAnsi="Calibri" w:cs="Calibri"/>
          <w:color w:val="000000" w:themeColor="text1"/>
        </w:rPr>
        <w:t>is one</w:t>
      </w:r>
      <w:r w:rsidRPr="008B6918">
        <w:rPr>
          <w:rFonts w:ascii="Calibri" w:hAnsi="Calibri" w:cs="Calibri"/>
          <w:color w:val="000000" w:themeColor="text1"/>
        </w:rPr>
        <w:t xml:space="preserve"> way to assess </w:t>
      </w:r>
      <w:r w:rsidR="00F95C8D">
        <w:rPr>
          <w:rFonts w:ascii="Calibri" w:hAnsi="Calibri" w:cs="Calibri"/>
          <w:color w:val="000000" w:themeColor="text1"/>
        </w:rPr>
        <w:t xml:space="preserve">medical </w:t>
      </w:r>
      <w:r w:rsidRPr="008B6918">
        <w:rPr>
          <w:rFonts w:ascii="Calibri" w:hAnsi="Calibri" w:cs="Calibri"/>
          <w:color w:val="000000" w:themeColor="text1"/>
        </w:rPr>
        <w:t xml:space="preserve">knowledge in the IMG candidates. IMG candidates may even take the USMLE </w:t>
      </w:r>
      <w:r w:rsidR="00BC2565">
        <w:rPr>
          <w:rFonts w:ascii="Calibri" w:hAnsi="Calibri" w:cs="Calibri"/>
          <w:color w:val="000000" w:themeColor="text1"/>
        </w:rPr>
        <w:t>S</w:t>
      </w:r>
      <w:r w:rsidRPr="008B6918">
        <w:rPr>
          <w:rFonts w:ascii="Calibri" w:hAnsi="Calibri" w:cs="Calibri"/>
          <w:color w:val="000000" w:themeColor="text1"/>
        </w:rPr>
        <w:t>tep 3 prior applying to residency. This is not a requirement to enter residency, but it is for state licensing.</w:t>
      </w:r>
    </w:p>
    <w:p w14:paraId="6D3C99F5" w14:textId="77777777" w:rsidR="008B6918" w:rsidRPr="008B6918" w:rsidRDefault="008B6918" w:rsidP="008B6918">
      <w:pPr>
        <w:spacing w:after="0"/>
        <w:rPr>
          <w:rFonts w:ascii="Cambria" w:hAnsi="Cambria" w:cstheme="minorHAnsi"/>
          <w:i/>
          <w:iCs/>
          <w:sz w:val="24"/>
          <w:szCs w:val="24"/>
        </w:rPr>
      </w:pPr>
      <w:r w:rsidRPr="008B6918">
        <w:rPr>
          <w:rFonts w:ascii="Cambria" w:hAnsi="Cambria" w:cstheme="minorHAnsi"/>
          <w:i/>
          <w:iCs/>
          <w:color w:val="2F5496" w:themeColor="accent1" w:themeShade="BF"/>
          <w:sz w:val="24"/>
          <w:szCs w:val="24"/>
        </w:rPr>
        <w:t xml:space="preserve">Actionable Items Related to Recruitment </w:t>
      </w:r>
    </w:p>
    <w:p w14:paraId="3D6D53A0" w14:textId="08D648A0" w:rsidR="008B6918" w:rsidRPr="008B6918" w:rsidRDefault="008B6918" w:rsidP="008B6918">
      <w:pPr>
        <w:pStyle w:val="ListParagraph"/>
        <w:numPr>
          <w:ilvl w:val="0"/>
          <w:numId w:val="1"/>
        </w:numPr>
        <w:spacing w:after="0"/>
        <w:rPr>
          <w:rFonts w:cstheme="minorHAnsi"/>
          <w:color w:val="2F5496" w:themeColor="accent1" w:themeShade="BF"/>
        </w:rPr>
      </w:pPr>
      <w:r w:rsidRPr="008B6918">
        <w:rPr>
          <w:rFonts w:cstheme="minorHAnsi"/>
          <w:color w:val="000000" w:themeColor="text1"/>
        </w:rPr>
        <w:t>Define values and goals of the program when it comes to recruiting IMGs (</w:t>
      </w:r>
      <w:r w:rsidR="00BC2565">
        <w:rPr>
          <w:rFonts w:cstheme="minorHAnsi"/>
          <w:color w:val="000000" w:themeColor="text1"/>
        </w:rPr>
        <w:t>consider</w:t>
      </w:r>
      <w:r w:rsidRPr="008B6918">
        <w:rPr>
          <w:rFonts w:cstheme="minorHAnsi"/>
          <w:color w:val="000000" w:themeColor="text1"/>
        </w:rPr>
        <w:t xml:space="preserve"> the population your program serves)</w:t>
      </w:r>
    </w:p>
    <w:p w14:paraId="1FFC69AB" w14:textId="5C81260A" w:rsidR="008B6918" w:rsidRPr="008B6918" w:rsidRDefault="008B6918" w:rsidP="008B6918">
      <w:pPr>
        <w:pStyle w:val="ListParagraph"/>
        <w:numPr>
          <w:ilvl w:val="0"/>
          <w:numId w:val="1"/>
        </w:numPr>
        <w:spacing w:after="0"/>
        <w:rPr>
          <w:rFonts w:cstheme="minorHAnsi"/>
          <w:color w:val="2F5496" w:themeColor="accent1" w:themeShade="BF"/>
        </w:rPr>
      </w:pPr>
      <w:r w:rsidRPr="008B6918">
        <w:rPr>
          <w:rFonts w:cstheme="minorHAnsi"/>
          <w:color w:val="000000" w:themeColor="text1"/>
        </w:rPr>
        <w:t>Develop a rubric for IMGs that aligns with the values of the program. (For example: one may value clinical experiences more than an MPH in the US health system</w:t>
      </w:r>
      <w:r w:rsidR="00BC2565">
        <w:rPr>
          <w:rFonts w:cstheme="minorHAnsi"/>
          <w:color w:val="000000" w:themeColor="text1"/>
        </w:rPr>
        <w:t>.</w:t>
      </w:r>
      <w:r w:rsidRPr="008B6918">
        <w:rPr>
          <w:rFonts w:cstheme="minorHAnsi"/>
          <w:color w:val="000000" w:themeColor="text1"/>
        </w:rPr>
        <w:t>)</w:t>
      </w:r>
    </w:p>
    <w:p w14:paraId="7D808666" w14:textId="6B3FCCF8" w:rsidR="008B6918" w:rsidRPr="008B6918" w:rsidRDefault="008B6918" w:rsidP="008B6918">
      <w:pPr>
        <w:pStyle w:val="ListParagraph"/>
        <w:numPr>
          <w:ilvl w:val="0"/>
          <w:numId w:val="1"/>
        </w:numPr>
        <w:spacing w:after="0"/>
        <w:rPr>
          <w:rFonts w:cstheme="minorHAnsi"/>
          <w:color w:val="2F5496" w:themeColor="accent1" w:themeShade="BF"/>
        </w:rPr>
      </w:pPr>
      <w:r w:rsidRPr="008B6918">
        <w:rPr>
          <w:rFonts w:cstheme="minorHAnsi"/>
          <w:color w:val="000000" w:themeColor="text1"/>
        </w:rPr>
        <w:t>Apply holistic review</w:t>
      </w:r>
      <w:r>
        <w:rPr>
          <w:rFonts w:cstheme="minorHAnsi"/>
          <w:color w:val="000000" w:themeColor="text1"/>
        </w:rPr>
        <w:t xml:space="preserve"> </w:t>
      </w:r>
    </w:p>
    <w:p w14:paraId="0417824A" w14:textId="5337AF1C" w:rsidR="008B6918" w:rsidRPr="008B6918" w:rsidRDefault="008B6918" w:rsidP="008B6918">
      <w:pPr>
        <w:pStyle w:val="ListParagraph"/>
        <w:numPr>
          <w:ilvl w:val="0"/>
          <w:numId w:val="2"/>
        </w:numPr>
        <w:rPr>
          <w:rFonts w:cstheme="minorHAnsi"/>
          <w:color w:val="000000" w:themeColor="text1"/>
        </w:rPr>
      </w:pPr>
      <w:r w:rsidRPr="008B6918">
        <w:rPr>
          <w:rFonts w:cstheme="minorHAnsi"/>
          <w:color w:val="000000" w:themeColor="text1"/>
        </w:rPr>
        <w:t>Involve faculty members familiar with different countries as advisors to the PD and coordinators to familiarize with different systems. (Caribbean schools vs Latin-American schools as an example</w:t>
      </w:r>
      <w:r w:rsidR="00BC2565">
        <w:rPr>
          <w:rFonts w:cstheme="minorHAnsi"/>
          <w:color w:val="000000" w:themeColor="text1"/>
        </w:rPr>
        <w:t>.</w:t>
      </w:r>
      <w:r w:rsidRPr="008B6918">
        <w:rPr>
          <w:rFonts w:cstheme="minorHAnsi"/>
          <w:color w:val="000000" w:themeColor="text1"/>
        </w:rPr>
        <w:t>)</w:t>
      </w:r>
    </w:p>
    <w:p w14:paraId="4275506F" w14:textId="77777777" w:rsidR="008B6918" w:rsidRDefault="008B6918" w:rsidP="008B6918">
      <w:pPr>
        <w:pStyle w:val="ListParagraph"/>
        <w:numPr>
          <w:ilvl w:val="0"/>
          <w:numId w:val="2"/>
        </w:numPr>
        <w:rPr>
          <w:rFonts w:cstheme="minorHAnsi"/>
          <w:color w:val="000000" w:themeColor="text1"/>
        </w:rPr>
      </w:pPr>
      <w:r w:rsidRPr="008B6918">
        <w:rPr>
          <w:rFonts w:cstheme="minorHAnsi"/>
          <w:color w:val="000000" w:themeColor="text1"/>
        </w:rPr>
        <w:t>Develop a library of schools from prior residents/faculty in the program.</w:t>
      </w:r>
    </w:p>
    <w:p w14:paraId="6368CA80" w14:textId="77777777" w:rsidR="008B6918" w:rsidRDefault="008B6918" w:rsidP="008B6918">
      <w:pPr>
        <w:pStyle w:val="ListParagraph"/>
        <w:numPr>
          <w:ilvl w:val="0"/>
          <w:numId w:val="2"/>
        </w:numPr>
        <w:rPr>
          <w:rFonts w:cstheme="minorHAnsi"/>
          <w:color w:val="000000" w:themeColor="text1"/>
        </w:rPr>
      </w:pPr>
      <w:r w:rsidRPr="008B6918">
        <w:rPr>
          <w:rFonts w:cstheme="minorHAnsi"/>
          <w:color w:val="000000" w:themeColor="text1"/>
        </w:rPr>
        <w:t xml:space="preserve">Establish </w:t>
      </w:r>
      <w:proofErr w:type="spellStart"/>
      <w:r w:rsidRPr="008B6918">
        <w:rPr>
          <w:rFonts w:cstheme="minorHAnsi"/>
          <w:color w:val="000000" w:themeColor="text1"/>
        </w:rPr>
        <w:t>observership</w:t>
      </w:r>
      <w:proofErr w:type="spellEnd"/>
      <w:r w:rsidRPr="008B6918">
        <w:rPr>
          <w:rFonts w:cstheme="minorHAnsi"/>
          <w:color w:val="000000" w:themeColor="text1"/>
        </w:rPr>
        <w:t xml:space="preserve"> programs that will allow first-hand experience for the candidate and the program.</w:t>
      </w:r>
    </w:p>
    <w:p w14:paraId="7B177DDA" w14:textId="4F44064F" w:rsidR="00ED1FD9" w:rsidRDefault="008B6918" w:rsidP="008B6918">
      <w:pPr>
        <w:rPr>
          <w:rFonts w:ascii="Cambria" w:hAnsi="Cambria"/>
          <w:color w:val="0070C0"/>
          <w:sz w:val="28"/>
          <w:szCs w:val="28"/>
        </w:rPr>
      </w:pPr>
      <w:r>
        <w:rPr>
          <w:rFonts w:ascii="Cambria" w:hAnsi="Cambria"/>
          <w:color w:val="0070C0"/>
          <w:sz w:val="28"/>
          <w:szCs w:val="28"/>
        </w:rPr>
        <w:t>Visas</w:t>
      </w:r>
    </w:p>
    <w:p w14:paraId="0FBEFB64" w14:textId="6A771735" w:rsidR="00ED1FD9" w:rsidRDefault="00ED1FD9" w:rsidP="00ED1FD9">
      <w:pPr>
        <w:spacing w:after="0"/>
        <w:rPr>
          <w:rFonts w:ascii="Cambria" w:hAnsi="Cambria" w:cstheme="minorHAnsi"/>
          <w:i/>
          <w:iCs/>
          <w:color w:val="2F5496" w:themeColor="accent1" w:themeShade="BF"/>
          <w:sz w:val="24"/>
          <w:szCs w:val="24"/>
        </w:rPr>
      </w:pPr>
      <w:r>
        <w:rPr>
          <w:rFonts w:ascii="Cambria" w:hAnsi="Cambria" w:cstheme="minorHAnsi"/>
          <w:i/>
          <w:iCs/>
          <w:color w:val="2F5496" w:themeColor="accent1" w:themeShade="BF"/>
          <w:sz w:val="24"/>
          <w:szCs w:val="24"/>
        </w:rPr>
        <w:t>ECFMG</w:t>
      </w:r>
    </w:p>
    <w:p w14:paraId="7302FA4B" w14:textId="18A1C711" w:rsidR="00F95C8D" w:rsidRDefault="00ED1FD9" w:rsidP="00ED1FD9">
      <w:pPr>
        <w:shd w:val="clear" w:color="auto" w:fill="FFFFFF"/>
        <w:spacing w:after="0" w:line="276" w:lineRule="auto"/>
        <w:rPr>
          <w:rFonts w:eastAsia="Times New Roman" w:cstheme="minorHAnsi"/>
          <w:i/>
          <w:color w:val="000000" w:themeColor="text1"/>
        </w:rPr>
      </w:pPr>
      <w:r w:rsidRPr="00ED1FD9">
        <w:rPr>
          <w:rFonts w:cstheme="minorHAnsi"/>
          <w:color w:val="000000" w:themeColor="text1"/>
        </w:rPr>
        <w:t xml:space="preserve">The Educational Commission for Foreign Medical Graduates (ECFMG) </w:t>
      </w:r>
      <w:r w:rsidRPr="00ED1FD9">
        <w:rPr>
          <w:rFonts w:cstheme="minorHAnsi"/>
          <w:color w:val="000000" w:themeColor="text1"/>
          <w:shd w:val="clear" w:color="auto" w:fill="FFFFFF"/>
        </w:rPr>
        <w:t xml:space="preserve">is authorized by the U.S. Department of State to sponsor foreign national physicians for the J-1 Exchange Visitor visa for </w:t>
      </w:r>
      <w:r w:rsidRPr="00ED1FD9">
        <w:rPr>
          <w:rFonts w:cstheme="minorHAnsi"/>
          <w:color w:val="000000" w:themeColor="text1"/>
          <w:shd w:val="clear" w:color="auto" w:fill="FFFFFF"/>
        </w:rPr>
        <w:lastRenderedPageBreak/>
        <w:t xml:space="preserve">participating in U.S. programs of graduate medical education or training. ECFMG is responsible for ensuring that Exchange Visitors and their host institutions meet the federal requirements for participation in the Exchange Visitor Program. This program provides instruction and guidance to teaching hospitals, medical specialty organizations, universities, and international physicians on the credential and immigration requirements for J-1 visa sponsorship. </w:t>
      </w:r>
      <w:r w:rsidRPr="00ED1FD9">
        <w:rPr>
          <w:rFonts w:cstheme="minorHAnsi"/>
          <w:color w:val="000000" w:themeColor="text1"/>
        </w:rPr>
        <w:t xml:space="preserve">Certification by ECFMG is the </w:t>
      </w:r>
      <w:r w:rsidR="00496309">
        <w:rPr>
          <w:rFonts w:cstheme="minorHAnsi"/>
          <w:color w:val="000000" w:themeColor="text1"/>
        </w:rPr>
        <w:t>s</w:t>
      </w:r>
      <w:r w:rsidRPr="00ED1FD9">
        <w:rPr>
          <w:rFonts w:cstheme="minorHAnsi"/>
          <w:color w:val="000000" w:themeColor="text1"/>
        </w:rPr>
        <w:t xml:space="preserve">tandard for evaluating the qualifications of these physicians before they enter U.S. graduate medical education (GME). ECFMG Certification also is a requirement for IMGs to take </w:t>
      </w:r>
      <w:r w:rsidR="00627E8C">
        <w:rPr>
          <w:rFonts w:cstheme="minorHAnsi"/>
          <w:color w:val="000000" w:themeColor="text1"/>
        </w:rPr>
        <w:t xml:space="preserve">USMLE </w:t>
      </w:r>
      <w:r w:rsidRPr="00ED1FD9">
        <w:rPr>
          <w:rFonts w:cstheme="minorHAnsi"/>
          <w:color w:val="000000" w:themeColor="text1"/>
        </w:rPr>
        <w:t xml:space="preserve">Step 3 and to obtain an unrestricted license to practice medicine in the </w:t>
      </w:r>
      <w:r w:rsidR="00627E8C">
        <w:rPr>
          <w:rFonts w:cstheme="minorHAnsi"/>
          <w:color w:val="000000" w:themeColor="text1"/>
        </w:rPr>
        <w:t>U.S</w:t>
      </w:r>
      <w:r w:rsidRPr="00ED1FD9">
        <w:rPr>
          <w:rFonts w:cstheme="minorHAnsi"/>
          <w:color w:val="000000" w:themeColor="text1"/>
        </w:rPr>
        <w:t xml:space="preserve">. ECFMG has developed unparalleled expertise on the world’s medical schools, the credentials they issue to their graduates, and the verification of those credentials. </w:t>
      </w:r>
      <w:r w:rsidR="00496309">
        <w:rPr>
          <w:rFonts w:eastAsia="Times New Roman" w:cstheme="minorHAnsi"/>
          <w:i/>
          <w:color w:val="000000" w:themeColor="text1"/>
        </w:rPr>
        <w:t xml:space="preserve"> </w:t>
      </w:r>
    </w:p>
    <w:p w14:paraId="6586075E" w14:textId="77777777" w:rsidR="00F95C8D" w:rsidRDefault="00F95C8D" w:rsidP="00ED1FD9">
      <w:pPr>
        <w:shd w:val="clear" w:color="auto" w:fill="FFFFFF"/>
        <w:spacing w:after="0" w:line="276" w:lineRule="auto"/>
        <w:rPr>
          <w:rFonts w:eastAsia="Times New Roman" w:cstheme="minorHAnsi"/>
          <w:i/>
          <w:color w:val="000000" w:themeColor="text1"/>
        </w:rPr>
      </w:pPr>
    </w:p>
    <w:p w14:paraId="5680CF48" w14:textId="2BD7C556" w:rsidR="00F95C8D" w:rsidRDefault="00F95C8D" w:rsidP="00ED1FD9">
      <w:pPr>
        <w:shd w:val="clear" w:color="auto" w:fill="FFFFFF"/>
        <w:spacing w:after="0" w:line="276" w:lineRule="auto"/>
        <w:rPr>
          <w:rFonts w:eastAsia="Times New Roman" w:cstheme="minorHAnsi"/>
          <w:i/>
          <w:color w:val="000000" w:themeColor="text1"/>
        </w:rPr>
      </w:pPr>
      <w:r>
        <w:rPr>
          <w:rFonts w:ascii="Cambria" w:hAnsi="Cambria" w:cstheme="minorHAnsi"/>
          <w:i/>
          <w:iCs/>
          <w:color w:val="2F5496" w:themeColor="accent1" w:themeShade="BF"/>
          <w:sz w:val="24"/>
          <w:szCs w:val="24"/>
        </w:rPr>
        <w:t>Visas</w:t>
      </w:r>
    </w:p>
    <w:p w14:paraId="6E7471DA" w14:textId="0E5157BF" w:rsidR="00A23C5D" w:rsidRDefault="00ED1FD9" w:rsidP="00ED1FD9">
      <w:pPr>
        <w:shd w:val="clear" w:color="auto" w:fill="FFFFFF"/>
        <w:spacing w:after="0" w:line="276" w:lineRule="auto"/>
        <w:rPr>
          <w:rFonts w:eastAsia="Times New Roman" w:cstheme="minorHAnsi"/>
          <w:bCs/>
          <w:color w:val="000000" w:themeColor="text1"/>
        </w:rPr>
      </w:pPr>
      <w:r w:rsidRPr="00ED1FD9">
        <w:rPr>
          <w:rFonts w:eastAsia="Times New Roman" w:cstheme="minorHAnsi"/>
          <w:bCs/>
          <w:color w:val="000000" w:themeColor="text1"/>
        </w:rPr>
        <w:t xml:space="preserve">IMGs may apply </w:t>
      </w:r>
      <w:r w:rsidR="00627E8C">
        <w:rPr>
          <w:rFonts w:eastAsia="Times New Roman" w:cstheme="minorHAnsi"/>
          <w:bCs/>
          <w:color w:val="000000" w:themeColor="text1"/>
        </w:rPr>
        <w:t>for</w:t>
      </w:r>
      <w:r w:rsidR="00627E8C" w:rsidRPr="00ED1FD9">
        <w:rPr>
          <w:rFonts w:eastAsia="Times New Roman" w:cstheme="minorHAnsi"/>
          <w:bCs/>
          <w:color w:val="000000" w:themeColor="text1"/>
        </w:rPr>
        <w:t xml:space="preserve"> </w:t>
      </w:r>
      <w:r w:rsidRPr="00ED1FD9">
        <w:rPr>
          <w:rFonts w:eastAsia="Times New Roman" w:cstheme="minorHAnsi"/>
          <w:bCs/>
          <w:color w:val="000000" w:themeColor="text1"/>
        </w:rPr>
        <w:t>different types of visa</w:t>
      </w:r>
      <w:r w:rsidR="00627E8C">
        <w:rPr>
          <w:rFonts w:eastAsia="Times New Roman" w:cstheme="minorHAnsi"/>
          <w:bCs/>
          <w:color w:val="000000" w:themeColor="text1"/>
        </w:rPr>
        <w:t>s</w:t>
      </w:r>
      <w:r w:rsidRPr="00ED1FD9">
        <w:rPr>
          <w:rFonts w:eastAsia="Times New Roman" w:cstheme="minorHAnsi"/>
          <w:bCs/>
          <w:color w:val="000000" w:themeColor="text1"/>
        </w:rPr>
        <w:t xml:space="preserve"> that allow them to work in the U</w:t>
      </w:r>
      <w:r w:rsidR="00627E8C">
        <w:rPr>
          <w:rFonts w:eastAsia="Times New Roman" w:cstheme="minorHAnsi"/>
          <w:bCs/>
          <w:color w:val="000000" w:themeColor="text1"/>
        </w:rPr>
        <w:t>.</w:t>
      </w:r>
      <w:r w:rsidRPr="00ED1FD9">
        <w:rPr>
          <w:rFonts w:eastAsia="Times New Roman" w:cstheme="minorHAnsi"/>
          <w:bCs/>
          <w:color w:val="000000" w:themeColor="text1"/>
        </w:rPr>
        <w:t xml:space="preserve">S. </w:t>
      </w:r>
      <w:r w:rsidR="00496309" w:rsidRPr="00ED1FD9">
        <w:rPr>
          <w:rFonts w:eastAsia="Times New Roman" w:cstheme="minorHAnsi"/>
          <w:bCs/>
          <w:color w:val="000000" w:themeColor="text1"/>
        </w:rPr>
        <w:t>The application of visas requires expertise and support from institutions to make it feasible.</w:t>
      </w:r>
      <w:r w:rsidR="00ED76AF">
        <w:rPr>
          <w:rFonts w:eastAsia="Times New Roman" w:cstheme="minorHAnsi"/>
          <w:bCs/>
          <w:color w:val="000000" w:themeColor="text1"/>
        </w:rPr>
        <w:t xml:space="preserve"> </w:t>
      </w:r>
      <w:r w:rsidR="00F95C8D">
        <w:rPr>
          <w:rFonts w:eastAsia="Times New Roman" w:cstheme="minorHAnsi"/>
          <w:bCs/>
          <w:color w:val="000000" w:themeColor="text1"/>
        </w:rPr>
        <w:t>The</w:t>
      </w:r>
      <w:r w:rsidR="00ED76AF">
        <w:rPr>
          <w:rFonts w:eastAsia="Times New Roman" w:cstheme="minorHAnsi"/>
          <w:bCs/>
          <w:color w:val="000000" w:themeColor="text1"/>
        </w:rPr>
        <w:t xml:space="preserve"> GME office </w:t>
      </w:r>
      <w:r w:rsidR="00F95C8D">
        <w:rPr>
          <w:rFonts w:eastAsia="Times New Roman" w:cstheme="minorHAnsi"/>
          <w:bCs/>
          <w:color w:val="000000" w:themeColor="text1"/>
        </w:rPr>
        <w:t>tracks</w:t>
      </w:r>
      <w:r w:rsidR="00ED76AF">
        <w:rPr>
          <w:rFonts w:eastAsia="Times New Roman" w:cstheme="minorHAnsi"/>
          <w:bCs/>
          <w:color w:val="000000" w:themeColor="text1"/>
        </w:rPr>
        <w:t xml:space="preserve"> which visas </w:t>
      </w:r>
      <w:r w:rsidR="00F95C8D">
        <w:rPr>
          <w:rFonts w:eastAsia="Times New Roman" w:cstheme="minorHAnsi"/>
          <w:bCs/>
          <w:color w:val="000000" w:themeColor="text1"/>
        </w:rPr>
        <w:t>each</w:t>
      </w:r>
      <w:r w:rsidR="00ED76AF">
        <w:rPr>
          <w:rFonts w:eastAsia="Times New Roman" w:cstheme="minorHAnsi"/>
          <w:bCs/>
          <w:color w:val="000000" w:themeColor="text1"/>
        </w:rPr>
        <w:t xml:space="preserve"> institution supports.</w:t>
      </w:r>
    </w:p>
    <w:p w14:paraId="3D8DE53D" w14:textId="77777777" w:rsidR="00A23C5D" w:rsidRDefault="00A23C5D" w:rsidP="00ED1FD9">
      <w:pPr>
        <w:shd w:val="clear" w:color="auto" w:fill="FFFFFF"/>
        <w:spacing w:after="0" w:line="276" w:lineRule="auto"/>
        <w:rPr>
          <w:rFonts w:eastAsia="Times New Roman" w:cstheme="minorHAnsi"/>
          <w:bCs/>
          <w:color w:val="000000" w:themeColor="text1"/>
        </w:rPr>
      </w:pPr>
    </w:p>
    <w:p w14:paraId="311084D7" w14:textId="3E402803" w:rsidR="00ED1FD9" w:rsidRPr="00ED1FD9" w:rsidRDefault="00F95C8D" w:rsidP="00ED1FD9">
      <w:pPr>
        <w:shd w:val="clear" w:color="auto" w:fill="FFFFFF"/>
        <w:spacing w:after="0" w:line="276" w:lineRule="auto"/>
        <w:rPr>
          <w:rFonts w:eastAsia="Times New Roman" w:cstheme="minorHAnsi"/>
          <w:bCs/>
          <w:color w:val="000000" w:themeColor="text1"/>
        </w:rPr>
      </w:pPr>
      <w:r>
        <w:rPr>
          <w:rFonts w:eastAsia="Times New Roman" w:cstheme="minorHAnsi"/>
          <w:bCs/>
          <w:color w:val="000000" w:themeColor="text1"/>
        </w:rPr>
        <w:t>The</w:t>
      </w:r>
      <w:r w:rsidR="00ED1FD9" w:rsidRPr="00ED1FD9">
        <w:rPr>
          <w:rFonts w:eastAsia="Times New Roman" w:cstheme="minorHAnsi"/>
          <w:bCs/>
          <w:color w:val="000000" w:themeColor="text1"/>
        </w:rPr>
        <w:t xml:space="preserve"> two most common visas offered to IMGs</w:t>
      </w:r>
      <w:r>
        <w:rPr>
          <w:rFonts w:eastAsia="Times New Roman" w:cstheme="minorHAnsi"/>
          <w:bCs/>
          <w:color w:val="000000" w:themeColor="text1"/>
        </w:rPr>
        <w:t xml:space="preserve"> are:</w:t>
      </w:r>
      <w:r w:rsidR="00496309">
        <w:rPr>
          <w:rFonts w:eastAsia="Times New Roman" w:cstheme="minorHAnsi"/>
          <w:bCs/>
          <w:color w:val="000000" w:themeColor="text1"/>
        </w:rPr>
        <w:t xml:space="preserve"> </w:t>
      </w:r>
    </w:p>
    <w:p w14:paraId="38B1650D" w14:textId="77777777" w:rsidR="00ED1FD9" w:rsidRDefault="00ED1FD9" w:rsidP="00ED1FD9">
      <w:pPr>
        <w:spacing w:after="0"/>
        <w:rPr>
          <w:rFonts w:ascii="Cambria" w:hAnsi="Cambria"/>
          <w:color w:val="0070C0"/>
          <w:sz w:val="28"/>
          <w:szCs w:val="28"/>
        </w:rPr>
      </w:pPr>
    </w:p>
    <w:p w14:paraId="594BE9ED" w14:textId="6915C663" w:rsidR="00ED1FD9" w:rsidRDefault="00ED1FD9" w:rsidP="00ED1FD9">
      <w:pPr>
        <w:spacing w:after="0"/>
        <w:rPr>
          <w:rFonts w:ascii="Cambria" w:hAnsi="Cambria" w:cstheme="minorHAnsi"/>
          <w:color w:val="2F5496" w:themeColor="accent1" w:themeShade="BF"/>
          <w:sz w:val="24"/>
          <w:szCs w:val="24"/>
        </w:rPr>
      </w:pPr>
      <w:r>
        <w:rPr>
          <w:rFonts w:ascii="Cambria" w:hAnsi="Cambria" w:cstheme="minorHAnsi"/>
          <w:i/>
          <w:iCs/>
          <w:color w:val="2F5496" w:themeColor="accent1" w:themeShade="BF"/>
          <w:sz w:val="24"/>
          <w:szCs w:val="24"/>
        </w:rPr>
        <w:t>J</w:t>
      </w:r>
      <w:r w:rsidR="00627E8C">
        <w:rPr>
          <w:rFonts w:ascii="Cambria" w:hAnsi="Cambria" w:cstheme="minorHAnsi"/>
          <w:i/>
          <w:iCs/>
          <w:color w:val="2F5496" w:themeColor="accent1" w:themeShade="BF"/>
          <w:sz w:val="24"/>
          <w:szCs w:val="24"/>
        </w:rPr>
        <w:t>-</w:t>
      </w:r>
      <w:r>
        <w:rPr>
          <w:rFonts w:ascii="Cambria" w:hAnsi="Cambria" w:cstheme="minorHAnsi"/>
          <w:i/>
          <w:iCs/>
          <w:color w:val="2F5496" w:themeColor="accent1" w:themeShade="BF"/>
          <w:sz w:val="24"/>
          <w:szCs w:val="24"/>
        </w:rPr>
        <w:t>1 Visa</w:t>
      </w:r>
    </w:p>
    <w:p w14:paraId="164501BF" w14:textId="47F7EA29" w:rsidR="00ED1FD9" w:rsidRDefault="00ED1FD9" w:rsidP="0017034C">
      <w:pPr>
        <w:shd w:val="clear" w:color="auto" w:fill="FFFFFF"/>
        <w:spacing w:after="0" w:line="276" w:lineRule="auto"/>
        <w:rPr>
          <w:rFonts w:ascii="Calibri" w:eastAsia="Times New Roman" w:hAnsi="Calibri" w:cs="Calibri"/>
          <w:color w:val="000000" w:themeColor="text1"/>
        </w:rPr>
      </w:pPr>
      <w:r w:rsidRPr="00ED1FD9">
        <w:rPr>
          <w:rFonts w:ascii="Calibri" w:eastAsia="Times New Roman" w:hAnsi="Calibri" w:cs="Calibri"/>
          <w:i/>
          <w:color w:val="000000" w:themeColor="text1"/>
        </w:rPr>
        <w:t>A</w:t>
      </w:r>
      <w:r w:rsidRPr="00ED1FD9">
        <w:rPr>
          <w:rFonts w:ascii="Calibri" w:eastAsia="Times New Roman" w:hAnsi="Calibri" w:cs="Calibri"/>
          <w:color w:val="000000" w:themeColor="text1"/>
        </w:rPr>
        <w:t>lso known as the Exchange Visitor Visa or J student visa,</w:t>
      </w:r>
      <w:r w:rsidR="00627E8C">
        <w:rPr>
          <w:rFonts w:ascii="Calibri" w:eastAsia="Times New Roman" w:hAnsi="Calibri" w:cs="Calibri"/>
          <w:color w:val="000000" w:themeColor="text1"/>
        </w:rPr>
        <w:t xml:space="preserve"> this</w:t>
      </w:r>
      <w:r w:rsidRPr="00ED1FD9">
        <w:rPr>
          <w:rFonts w:ascii="Calibri" w:eastAsia="Times New Roman" w:hAnsi="Calibri" w:cs="Calibri"/>
          <w:color w:val="000000" w:themeColor="text1"/>
        </w:rPr>
        <w:t xml:space="preserve"> is a non-immigrant visa that allows people outside of the </w:t>
      </w:r>
      <w:r w:rsidR="00627E8C">
        <w:rPr>
          <w:rFonts w:ascii="Calibri" w:eastAsia="Times New Roman" w:hAnsi="Calibri" w:cs="Calibri"/>
          <w:color w:val="000000" w:themeColor="text1"/>
        </w:rPr>
        <w:t>U.S.</w:t>
      </w:r>
      <w:r w:rsidRPr="00ED1FD9">
        <w:rPr>
          <w:rFonts w:ascii="Calibri" w:eastAsia="Times New Roman" w:hAnsi="Calibri" w:cs="Calibri"/>
          <w:color w:val="000000" w:themeColor="text1"/>
        </w:rPr>
        <w:t xml:space="preserve"> to participate in work- and study-based exchange programs in the country.</w:t>
      </w:r>
      <w:r w:rsidR="00627E8C">
        <w:rPr>
          <w:rFonts w:ascii="Calibri" w:eastAsia="Times New Roman" w:hAnsi="Calibri" w:cs="Calibri"/>
          <w:color w:val="000000" w:themeColor="text1"/>
        </w:rPr>
        <w:t xml:space="preserve"> </w:t>
      </w:r>
      <w:r w:rsidRPr="00ED1FD9">
        <w:rPr>
          <w:rFonts w:ascii="Calibri" w:eastAsia="Times New Roman" w:hAnsi="Calibri" w:cs="Calibri"/>
          <w:color w:val="000000" w:themeColor="text1"/>
        </w:rPr>
        <w:t>J-1 visas can be issued for up to five years, plus 30 days to prepare to leave the U</w:t>
      </w:r>
      <w:r w:rsidR="00627E8C">
        <w:rPr>
          <w:rFonts w:ascii="Calibri" w:eastAsia="Times New Roman" w:hAnsi="Calibri" w:cs="Calibri"/>
          <w:color w:val="000000" w:themeColor="text1"/>
        </w:rPr>
        <w:t>.</w:t>
      </w:r>
      <w:r w:rsidRPr="00ED1FD9">
        <w:rPr>
          <w:rFonts w:ascii="Calibri" w:eastAsia="Times New Roman" w:hAnsi="Calibri" w:cs="Calibri"/>
          <w:color w:val="000000" w:themeColor="text1"/>
        </w:rPr>
        <w:t>S. Applicants must meet eligibility criteria and provide the following documents to apply for a J-1 visa:</w:t>
      </w:r>
    </w:p>
    <w:p w14:paraId="2E1AE5BD" w14:textId="06FD4CFD" w:rsidR="00ED1FD9" w:rsidRDefault="00ED1FD9" w:rsidP="00ED1FD9">
      <w:pPr>
        <w:pStyle w:val="ListParagraph"/>
        <w:numPr>
          <w:ilvl w:val="0"/>
          <w:numId w:val="4"/>
        </w:numPr>
        <w:shd w:val="clear" w:color="auto" w:fill="FFFFFF"/>
        <w:spacing w:after="150" w:line="276" w:lineRule="auto"/>
        <w:rPr>
          <w:rFonts w:ascii="Calibri" w:eastAsia="Times New Roman" w:hAnsi="Calibri" w:cs="Calibri"/>
          <w:color w:val="000000" w:themeColor="text1"/>
        </w:rPr>
      </w:pPr>
      <w:r>
        <w:rPr>
          <w:rFonts w:ascii="Calibri" w:eastAsia="Times New Roman" w:hAnsi="Calibri" w:cs="Calibri"/>
          <w:color w:val="000000" w:themeColor="text1"/>
        </w:rPr>
        <w:t xml:space="preserve">Passport </w:t>
      </w:r>
      <w:r w:rsidRPr="00ED1FD9">
        <w:rPr>
          <w:rFonts w:ascii="Calibri" w:eastAsia="Times New Roman" w:hAnsi="Calibri" w:cs="Calibri"/>
          <w:color w:val="000000" w:themeColor="text1"/>
        </w:rPr>
        <w:t xml:space="preserve">valid for at least six months after </w:t>
      </w:r>
      <w:r w:rsidR="00241AB8" w:rsidRPr="00ED1FD9">
        <w:rPr>
          <w:rFonts w:ascii="Calibri" w:eastAsia="Times New Roman" w:hAnsi="Calibri" w:cs="Calibri"/>
          <w:color w:val="000000" w:themeColor="text1"/>
        </w:rPr>
        <w:t>departure unless</w:t>
      </w:r>
      <w:r w:rsidRPr="00ED1FD9">
        <w:rPr>
          <w:rFonts w:ascii="Calibri" w:eastAsia="Times New Roman" w:hAnsi="Calibri" w:cs="Calibri"/>
          <w:color w:val="000000" w:themeColor="text1"/>
        </w:rPr>
        <w:t xml:space="preserve"> there are </w:t>
      </w:r>
      <w:r w:rsidR="00241AB8" w:rsidRPr="00ED1FD9">
        <w:rPr>
          <w:rFonts w:ascii="Calibri" w:eastAsia="Times New Roman" w:hAnsi="Calibri" w:cs="Calibri"/>
          <w:color w:val="000000" w:themeColor="text1"/>
        </w:rPr>
        <w:t>exemptions</w:t>
      </w:r>
    </w:p>
    <w:p w14:paraId="5CE933D2" w14:textId="77777777" w:rsidR="00ED1FD9" w:rsidRDefault="00ED1FD9" w:rsidP="00ED1FD9">
      <w:pPr>
        <w:pStyle w:val="ListParagraph"/>
        <w:numPr>
          <w:ilvl w:val="0"/>
          <w:numId w:val="4"/>
        </w:numPr>
        <w:shd w:val="clear" w:color="auto" w:fill="FFFFFF"/>
        <w:spacing w:after="150" w:line="276" w:lineRule="auto"/>
        <w:rPr>
          <w:rFonts w:ascii="Calibri" w:eastAsia="Times New Roman" w:hAnsi="Calibri" w:cs="Calibri"/>
          <w:color w:val="000000" w:themeColor="text1"/>
        </w:rPr>
      </w:pPr>
      <w:r w:rsidRPr="00ED1FD9">
        <w:rPr>
          <w:rFonts w:ascii="Calibri" w:eastAsia="Times New Roman" w:hAnsi="Calibri" w:cs="Calibri"/>
          <w:color w:val="000000" w:themeColor="text1"/>
        </w:rPr>
        <w:t>Photograph</w:t>
      </w:r>
    </w:p>
    <w:p w14:paraId="3D9B6405" w14:textId="4B736D72" w:rsidR="00ED1FD9" w:rsidRDefault="00ED1FD9" w:rsidP="00ED1FD9">
      <w:pPr>
        <w:pStyle w:val="ListParagraph"/>
        <w:numPr>
          <w:ilvl w:val="0"/>
          <w:numId w:val="4"/>
        </w:numPr>
        <w:shd w:val="clear" w:color="auto" w:fill="FFFFFF"/>
        <w:spacing w:after="150" w:line="276" w:lineRule="auto"/>
        <w:rPr>
          <w:rFonts w:ascii="Calibri" w:eastAsia="Times New Roman" w:hAnsi="Calibri" w:cs="Calibri"/>
          <w:color w:val="000000" w:themeColor="text1"/>
        </w:rPr>
      </w:pPr>
      <w:r w:rsidRPr="00ED1FD9">
        <w:rPr>
          <w:rFonts w:ascii="Calibri" w:eastAsia="Times New Roman" w:hAnsi="Calibri" w:cs="Calibri"/>
          <w:color w:val="000000" w:themeColor="text1"/>
        </w:rPr>
        <w:t>Non</w:t>
      </w:r>
      <w:r w:rsidR="00E127CE">
        <w:rPr>
          <w:rFonts w:ascii="Calibri" w:eastAsia="Times New Roman" w:hAnsi="Calibri" w:cs="Calibri"/>
          <w:color w:val="000000" w:themeColor="text1"/>
        </w:rPr>
        <w:t>-</w:t>
      </w:r>
      <w:r w:rsidRPr="00ED1FD9">
        <w:rPr>
          <w:rFonts w:ascii="Calibri" w:eastAsia="Times New Roman" w:hAnsi="Calibri" w:cs="Calibri"/>
          <w:color w:val="000000" w:themeColor="text1"/>
        </w:rPr>
        <w:t>immigrant visa application form</w:t>
      </w:r>
    </w:p>
    <w:p w14:paraId="3EF83DCB" w14:textId="77777777" w:rsidR="00ED1FD9" w:rsidRDefault="00ED1FD9" w:rsidP="00ED1FD9">
      <w:pPr>
        <w:pStyle w:val="ListParagraph"/>
        <w:numPr>
          <w:ilvl w:val="0"/>
          <w:numId w:val="4"/>
        </w:numPr>
        <w:shd w:val="clear" w:color="auto" w:fill="FFFFFF"/>
        <w:spacing w:after="150" w:line="276" w:lineRule="auto"/>
        <w:rPr>
          <w:rFonts w:ascii="Calibri" w:eastAsia="Times New Roman" w:hAnsi="Calibri" w:cs="Calibri"/>
          <w:color w:val="000000" w:themeColor="text1"/>
        </w:rPr>
      </w:pPr>
      <w:r w:rsidRPr="00ED1FD9">
        <w:rPr>
          <w:rFonts w:ascii="Calibri" w:eastAsia="Times New Roman" w:hAnsi="Calibri" w:cs="Calibri"/>
          <w:color w:val="000000" w:themeColor="text1"/>
        </w:rPr>
        <w:t>Visa fee receipt</w:t>
      </w:r>
    </w:p>
    <w:p w14:paraId="612D165C" w14:textId="34B6109F" w:rsidR="00ED1FD9" w:rsidRPr="00ED1FD9" w:rsidRDefault="00ED1FD9" w:rsidP="00ED1FD9">
      <w:pPr>
        <w:pStyle w:val="ListParagraph"/>
        <w:numPr>
          <w:ilvl w:val="0"/>
          <w:numId w:val="4"/>
        </w:numPr>
        <w:shd w:val="clear" w:color="auto" w:fill="FFFFFF"/>
        <w:spacing w:after="150" w:line="276" w:lineRule="auto"/>
        <w:rPr>
          <w:rFonts w:ascii="Calibri" w:eastAsia="Times New Roman" w:hAnsi="Calibri" w:cs="Calibri"/>
          <w:color w:val="000000" w:themeColor="text1"/>
        </w:rPr>
      </w:pPr>
      <w:r w:rsidRPr="00ED1FD9">
        <w:rPr>
          <w:rFonts w:ascii="Calibri" w:eastAsia="Times New Roman" w:hAnsi="Calibri" w:cs="Calibri"/>
          <w:color w:val="000000" w:themeColor="text1"/>
        </w:rPr>
        <w:t>Form DS-2019 (</w:t>
      </w:r>
      <w:r w:rsidRPr="00ED1FD9">
        <w:rPr>
          <w:rFonts w:ascii="Calibri" w:hAnsi="Calibri" w:cs="Calibri"/>
          <w:color w:val="000000" w:themeColor="text1"/>
        </w:rPr>
        <w:t>C</w:t>
      </w:r>
      <w:r w:rsidR="00C23FE0">
        <w:rPr>
          <w:rFonts w:ascii="Calibri" w:hAnsi="Calibri" w:cs="Calibri"/>
          <w:color w:val="000000" w:themeColor="text1"/>
        </w:rPr>
        <w:t>ertificate of Eligibility for Exchange Visitor [J-1] Status)</w:t>
      </w:r>
    </w:p>
    <w:p w14:paraId="19BFB545" w14:textId="5FE6A2F4" w:rsidR="00ED1FD9" w:rsidRPr="00ED1FD9" w:rsidRDefault="00ED1FD9" w:rsidP="00ED1FD9">
      <w:pPr>
        <w:shd w:val="clear" w:color="auto" w:fill="FFFFFF"/>
        <w:spacing w:line="276" w:lineRule="auto"/>
        <w:rPr>
          <w:rFonts w:eastAsia="Times New Roman" w:cstheme="minorHAnsi"/>
          <w:color w:val="001D35"/>
        </w:rPr>
      </w:pPr>
      <w:r w:rsidRPr="00ED1FD9">
        <w:rPr>
          <w:rFonts w:ascii="Calibri" w:eastAsia="Times New Roman" w:hAnsi="Calibri" w:cs="Calibri"/>
          <w:color w:val="000000" w:themeColor="text1"/>
        </w:rPr>
        <w:t>The application-processing fee for a J-1 visa is $160. Within 30 days of arriving in the U</w:t>
      </w:r>
      <w:r w:rsidR="00E127CE">
        <w:rPr>
          <w:rFonts w:ascii="Calibri" w:eastAsia="Times New Roman" w:hAnsi="Calibri" w:cs="Calibri"/>
          <w:color w:val="000000" w:themeColor="text1"/>
        </w:rPr>
        <w:t>.</w:t>
      </w:r>
      <w:r w:rsidRPr="00ED1FD9">
        <w:rPr>
          <w:rFonts w:ascii="Calibri" w:eastAsia="Times New Roman" w:hAnsi="Calibri" w:cs="Calibri"/>
          <w:color w:val="000000" w:themeColor="text1"/>
        </w:rPr>
        <w:t>S</w:t>
      </w:r>
      <w:r w:rsidR="00E127CE">
        <w:rPr>
          <w:rFonts w:ascii="Calibri" w:eastAsia="Times New Roman" w:hAnsi="Calibri" w:cs="Calibri"/>
          <w:color w:val="000000" w:themeColor="text1"/>
        </w:rPr>
        <w:t>.</w:t>
      </w:r>
      <w:r w:rsidRPr="00ED1FD9">
        <w:rPr>
          <w:rFonts w:ascii="Calibri" w:eastAsia="Times New Roman" w:hAnsi="Calibri" w:cs="Calibri"/>
          <w:color w:val="000000" w:themeColor="text1"/>
        </w:rPr>
        <w:t>, J-1 visa holders must also obtain their own health insurance for themselves and their families as well as</w:t>
      </w:r>
      <w:r w:rsidR="00E127CE">
        <w:rPr>
          <w:rFonts w:ascii="Calibri" w:eastAsia="Times New Roman" w:hAnsi="Calibri" w:cs="Calibri"/>
          <w:color w:val="000000" w:themeColor="text1"/>
        </w:rPr>
        <w:t xml:space="preserve"> a</w:t>
      </w:r>
      <w:r w:rsidRPr="00ED1FD9">
        <w:rPr>
          <w:rFonts w:ascii="Calibri" w:eastAsia="Times New Roman" w:hAnsi="Calibri" w:cs="Calibri"/>
          <w:color w:val="000000" w:themeColor="text1"/>
        </w:rPr>
        <w:t xml:space="preserve"> social security number.  </w:t>
      </w:r>
    </w:p>
    <w:p w14:paraId="4845F8A2" w14:textId="0B075D81" w:rsidR="00ED1FD9" w:rsidRDefault="00E127CE" w:rsidP="00ED1FD9">
      <w:pPr>
        <w:spacing w:after="0"/>
        <w:rPr>
          <w:rFonts w:cstheme="minorHAnsi"/>
          <w:color w:val="2F5496" w:themeColor="accent1" w:themeShade="BF"/>
        </w:rPr>
      </w:pPr>
      <w:r>
        <w:rPr>
          <w:rFonts w:cstheme="minorHAnsi"/>
          <w:color w:val="2F5496" w:themeColor="accent1" w:themeShade="BF"/>
        </w:rPr>
        <w:t>P</w:t>
      </w:r>
      <w:r w:rsidR="00496309">
        <w:rPr>
          <w:rFonts w:cstheme="minorHAnsi"/>
          <w:color w:val="2F5496" w:themeColor="accent1" w:themeShade="BF"/>
        </w:rPr>
        <w:t xml:space="preserve">rogram </w:t>
      </w:r>
      <w:r>
        <w:rPr>
          <w:rFonts w:cstheme="minorHAnsi"/>
          <w:color w:val="2F5496" w:themeColor="accent1" w:themeShade="BF"/>
        </w:rPr>
        <w:t>C</w:t>
      </w:r>
      <w:r w:rsidR="00496309">
        <w:rPr>
          <w:rFonts w:cstheme="minorHAnsi"/>
          <w:color w:val="2F5496" w:themeColor="accent1" w:themeShade="BF"/>
        </w:rPr>
        <w:t>oordinat</w:t>
      </w:r>
      <w:r>
        <w:rPr>
          <w:rFonts w:cstheme="minorHAnsi"/>
          <w:color w:val="2F5496" w:themeColor="accent1" w:themeShade="BF"/>
        </w:rPr>
        <w:t>ion</w:t>
      </w:r>
    </w:p>
    <w:p w14:paraId="1F264337" w14:textId="5C1E4040" w:rsidR="00A570D2" w:rsidRPr="00496309" w:rsidRDefault="00E127CE" w:rsidP="00496309">
      <w:pPr>
        <w:shd w:val="clear" w:color="auto" w:fill="FFFFFF"/>
        <w:spacing w:line="276" w:lineRule="auto"/>
        <w:rPr>
          <w:rFonts w:eastAsia="Times New Roman" w:cstheme="minorHAnsi"/>
          <w:iCs/>
          <w:color w:val="001D35"/>
        </w:rPr>
      </w:pPr>
      <w:r>
        <w:rPr>
          <w:rFonts w:cstheme="minorHAnsi"/>
          <w:iCs/>
        </w:rPr>
        <w:t>Typically</w:t>
      </w:r>
      <w:r w:rsidR="00F95C8D">
        <w:rPr>
          <w:rFonts w:cstheme="minorHAnsi"/>
          <w:iCs/>
        </w:rPr>
        <w:t>,</w:t>
      </w:r>
      <w:r>
        <w:rPr>
          <w:rFonts w:cstheme="minorHAnsi"/>
          <w:iCs/>
        </w:rPr>
        <w:t xml:space="preserve"> </w:t>
      </w:r>
      <w:r w:rsidR="00F95C8D">
        <w:rPr>
          <w:rFonts w:cstheme="minorHAnsi"/>
          <w:iCs/>
        </w:rPr>
        <w:t>the</w:t>
      </w:r>
      <w:r>
        <w:rPr>
          <w:rFonts w:cstheme="minorHAnsi"/>
          <w:iCs/>
        </w:rPr>
        <w:t xml:space="preserve"> Program Coordinator or an institutional GME Coordinator will</w:t>
      </w:r>
      <w:r w:rsidR="00496309" w:rsidRPr="00496309">
        <w:rPr>
          <w:rFonts w:cstheme="minorHAnsi"/>
          <w:iCs/>
        </w:rPr>
        <w:t xml:space="preserve"> complete a new academic profile for new </w:t>
      </w:r>
      <w:r>
        <w:rPr>
          <w:rFonts w:cstheme="minorHAnsi"/>
          <w:iCs/>
        </w:rPr>
        <w:t>IMGs</w:t>
      </w:r>
      <w:r w:rsidRPr="00496309">
        <w:rPr>
          <w:rFonts w:cstheme="minorHAnsi"/>
          <w:iCs/>
        </w:rPr>
        <w:t xml:space="preserve"> </w:t>
      </w:r>
      <w:r w:rsidR="00496309" w:rsidRPr="00496309">
        <w:rPr>
          <w:rFonts w:cstheme="minorHAnsi"/>
          <w:iCs/>
        </w:rPr>
        <w:t>needing a J</w:t>
      </w:r>
      <w:r>
        <w:rPr>
          <w:rFonts w:cstheme="minorHAnsi"/>
          <w:iCs/>
        </w:rPr>
        <w:t>-</w:t>
      </w:r>
      <w:r w:rsidR="00496309" w:rsidRPr="00496309">
        <w:rPr>
          <w:rFonts w:cstheme="minorHAnsi"/>
          <w:iCs/>
        </w:rPr>
        <w:t xml:space="preserve">1 </w:t>
      </w:r>
      <w:r w:rsidR="003A2A80">
        <w:rPr>
          <w:rFonts w:cstheme="minorHAnsi"/>
          <w:iCs/>
        </w:rPr>
        <w:t xml:space="preserve">visa </w:t>
      </w:r>
      <w:r>
        <w:rPr>
          <w:rFonts w:cstheme="minorHAnsi"/>
          <w:iCs/>
        </w:rPr>
        <w:t>in ECFMG</w:t>
      </w:r>
      <w:r w:rsidR="00496309" w:rsidRPr="00496309">
        <w:rPr>
          <w:rFonts w:cstheme="minorHAnsi"/>
          <w:iCs/>
        </w:rPr>
        <w:t xml:space="preserve">.  After completing a </w:t>
      </w:r>
      <w:r w:rsidRPr="00496309">
        <w:rPr>
          <w:rFonts w:cstheme="minorHAnsi"/>
          <w:iCs/>
        </w:rPr>
        <w:t>profile</w:t>
      </w:r>
      <w:r>
        <w:rPr>
          <w:rFonts w:cstheme="minorHAnsi"/>
          <w:iCs/>
        </w:rPr>
        <w:t>, each</w:t>
      </w:r>
      <w:r w:rsidR="00496309" w:rsidRPr="00496309">
        <w:rPr>
          <w:rFonts w:cstheme="minorHAnsi"/>
          <w:iCs/>
        </w:rPr>
        <w:t xml:space="preserve"> new intern</w:t>
      </w:r>
      <w:r>
        <w:rPr>
          <w:rFonts w:cstheme="minorHAnsi"/>
          <w:iCs/>
        </w:rPr>
        <w:t xml:space="preserve"> is added by</w:t>
      </w:r>
      <w:r w:rsidR="00496309" w:rsidRPr="00496309">
        <w:rPr>
          <w:rFonts w:cstheme="minorHAnsi"/>
          <w:iCs/>
        </w:rPr>
        <w:t xml:space="preserve"> searching </w:t>
      </w:r>
      <w:r>
        <w:rPr>
          <w:rFonts w:cstheme="minorHAnsi"/>
          <w:iCs/>
        </w:rPr>
        <w:t>their</w:t>
      </w:r>
      <w:r w:rsidRPr="00496309">
        <w:rPr>
          <w:rFonts w:cstheme="minorHAnsi"/>
          <w:iCs/>
        </w:rPr>
        <w:t xml:space="preserve"> </w:t>
      </w:r>
      <w:r w:rsidR="00496309" w:rsidRPr="00496309">
        <w:rPr>
          <w:rFonts w:cstheme="minorHAnsi"/>
          <w:iCs/>
        </w:rPr>
        <w:t xml:space="preserve">USMLE number. </w:t>
      </w:r>
      <w:r>
        <w:rPr>
          <w:rFonts w:cstheme="minorHAnsi"/>
          <w:iCs/>
        </w:rPr>
        <w:t>A signed contract must be u</w:t>
      </w:r>
      <w:r w:rsidR="00496309" w:rsidRPr="00496309">
        <w:rPr>
          <w:rFonts w:cstheme="minorHAnsi"/>
          <w:iCs/>
        </w:rPr>
        <w:t>pload</w:t>
      </w:r>
      <w:r>
        <w:rPr>
          <w:rFonts w:cstheme="minorHAnsi"/>
          <w:iCs/>
        </w:rPr>
        <w:t>ed</w:t>
      </w:r>
      <w:r w:rsidR="00F95C8D">
        <w:rPr>
          <w:rFonts w:cstheme="minorHAnsi"/>
          <w:iCs/>
        </w:rPr>
        <w:t xml:space="preserve">. </w:t>
      </w:r>
      <w:r w:rsidR="00496309" w:rsidRPr="00496309">
        <w:rPr>
          <w:rFonts w:cstheme="minorHAnsi"/>
          <w:iCs/>
        </w:rPr>
        <w:t>Once ECFMG receives the profile</w:t>
      </w:r>
      <w:r>
        <w:rPr>
          <w:rFonts w:cstheme="minorHAnsi"/>
          <w:iCs/>
        </w:rPr>
        <w:t>,</w:t>
      </w:r>
      <w:r w:rsidR="00496309" w:rsidRPr="00496309">
        <w:rPr>
          <w:rFonts w:cstheme="minorHAnsi"/>
          <w:iCs/>
        </w:rPr>
        <w:t xml:space="preserve"> this will generate an email to all added applicants with instructions of what to upload on their end to receive a J</w:t>
      </w:r>
      <w:r>
        <w:rPr>
          <w:rFonts w:cstheme="minorHAnsi"/>
          <w:iCs/>
        </w:rPr>
        <w:t>-</w:t>
      </w:r>
      <w:r w:rsidR="00496309" w:rsidRPr="00496309">
        <w:rPr>
          <w:rFonts w:cstheme="minorHAnsi"/>
          <w:iCs/>
        </w:rPr>
        <w:t xml:space="preserve">1 </w:t>
      </w:r>
      <w:r w:rsidR="003A2A80">
        <w:rPr>
          <w:rFonts w:cstheme="minorHAnsi"/>
          <w:iCs/>
        </w:rPr>
        <w:t>visa</w:t>
      </w:r>
      <w:r w:rsidR="00496309" w:rsidRPr="00496309">
        <w:rPr>
          <w:rFonts w:cstheme="minorHAnsi"/>
          <w:iCs/>
        </w:rPr>
        <w:t xml:space="preserve">.  Once the new intern has completed the documentation, ECFMG will mark complete and send the coordinator a DS2019 form. The coordinator </w:t>
      </w:r>
      <w:r w:rsidR="00241AB8" w:rsidRPr="00496309">
        <w:rPr>
          <w:rFonts w:cstheme="minorHAnsi"/>
          <w:iCs/>
        </w:rPr>
        <w:t>will</w:t>
      </w:r>
      <w:r w:rsidR="00241AB8">
        <w:rPr>
          <w:rFonts w:cstheme="minorHAnsi"/>
          <w:iCs/>
        </w:rPr>
        <w:t xml:space="preserve"> send</w:t>
      </w:r>
      <w:r w:rsidR="00496309" w:rsidRPr="00496309">
        <w:rPr>
          <w:rFonts w:cstheme="minorHAnsi"/>
          <w:iCs/>
        </w:rPr>
        <w:t xml:space="preserve"> out this DS2019 form to wherever the new intern is able to receive it.  </w:t>
      </w:r>
      <w:r w:rsidR="00496309" w:rsidRPr="00496309">
        <w:rPr>
          <w:rFonts w:cstheme="minorHAnsi"/>
          <w:iCs/>
          <w:u w:val="single"/>
        </w:rPr>
        <w:t xml:space="preserve">International graduates will not be able to enter the country without this DS2019 form. </w:t>
      </w:r>
    </w:p>
    <w:p w14:paraId="26DB34FC" w14:textId="20519820" w:rsidR="00A43321" w:rsidRPr="00A43321" w:rsidRDefault="00A43321" w:rsidP="00A43321">
      <w:pPr>
        <w:spacing w:after="0"/>
        <w:rPr>
          <w:rFonts w:ascii="Cambria" w:hAnsi="Cambria" w:cstheme="minorHAnsi"/>
          <w:color w:val="2F5496" w:themeColor="accent1" w:themeShade="BF"/>
          <w:sz w:val="24"/>
          <w:szCs w:val="24"/>
        </w:rPr>
      </w:pPr>
      <w:r w:rsidRPr="00A43321">
        <w:rPr>
          <w:rFonts w:ascii="Cambria" w:hAnsi="Cambria" w:cstheme="minorHAnsi"/>
          <w:color w:val="2F5496" w:themeColor="accent1" w:themeShade="BF"/>
          <w:sz w:val="24"/>
          <w:szCs w:val="24"/>
        </w:rPr>
        <w:lastRenderedPageBreak/>
        <w:t>H</w:t>
      </w:r>
      <w:r w:rsidR="003A2A80">
        <w:rPr>
          <w:rFonts w:ascii="Cambria" w:hAnsi="Cambria" w:cstheme="minorHAnsi"/>
          <w:color w:val="2F5496" w:themeColor="accent1" w:themeShade="BF"/>
          <w:sz w:val="24"/>
          <w:szCs w:val="24"/>
        </w:rPr>
        <w:t>-</w:t>
      </w:r>
      <w:r w:rsidRPr="00A43321">
        <w:rPr>
          <w:rFonts w:ascii="Cambria" w:hAnsi="Cambria" w:cstheme="minorHAnsi"/>
          <w:color w:val="2F5496" w:themeColor="accent1" w:themeShade="BF"/>
          <w:sz w:val="24"/>
          <w:szCs w:val="24"/>
        </w:rPr>
        <w:t>1B Visa</w:t>
      </w:r>
    </w:p>
    <w:p w14:paraId="602350AB" w14:textId="343A59A6" w:rsidR="00A43321" w:rsidRPr="00A43321" w:rsidRDefault="00ED76AF" w:rsidP="00A43321">
      <w:pPr>
        <w:rPr>
          <w:rFonts w:ascii="Calibri" w:hAnsi="Calibri" w:cs="Calibri"/>
          <w:color w:val="000000" w:themeColor="text1"/>
        </w:rPr>
      </w:pPr>
      <w:r w:rsidRPr="00A43321">
        <w:rPr>
          <w:rFonts w:ascii="Calibri" w:hAnsi="Calibri" w:cs="Calibri"/>
          <w:color w:val="000000" w:themeColor="text1"/>
        </w:rPr>
        <w:t>To</w:t>
      </w:r>
      <w:r w:rsidR="00A43321" w:rsidRPr="00A43321">
        <w:rPr>
          <w:rFonts w:ascii="Calibri" w:hAnsi="Calibri" w:cs="Calibri"/>
          <w:color w:val="000000" w:themeColor="text1"/>
        </w:rPr>
        <w:t xml:space="preserve"> be eligible for the H</w:t>
      </w:r>
      <w:r w:rsidR="003A2A80">
        <w:rPr>
          <w:rFonts w:ascii="Calibri" w:hAnsi="Calibri" w:cs="Calibri"/>
          <w:color w:val="000000" w:themeColor="text1"/>
        </w:rPr>
        <w:t>-</w:t>
      </w:r>
      <w:r w:rsidR="00A43321" w:rsidRPr="00A43321">
        <w:rPr>
          <w:rFonts w:ascii="Calibri" w:hAnsi="Calibri" w:cs="Calibri"/>
          <w:color w:val="000000" w:themeColor="text1"/>
        </w:rPr>
        <w:t>1B visa, a candidate will need:</w:t>
      </w:r>
    </w:p>
    <w:p w14:paraId="79FAD620" w14:textId="3DC16C4B" w:rsidR="00A43321" w:rsidRDefault="00A43321" w:rsidP="00A43321">
      <w:pPr>
        <w:pStyle w:val="ListParagraph"/>
        <w:numPr>
          <w:ilvl w:val="0"/>
          <w:numId w:val="6"/>
        </w:numPr>
        <w:rPr>
          <w:rFonts w:ascii="Calibri" w:hAnsi="Calibri" w:cs="Calibri"/>
          <w:color w:val="000000" w:themeColor="text1"/>
        </w:rPr>
      </w:pPr>
      <w:r w:rsidRPr="00A43321">
        <w:rPr>
          <w:rFonts w:ascii="Calibri" w:hAnsi="Calibri" w:cs="Calibri"/>
          <w:color w:val="000000" w:themeColor="text1"/>
        </w:rPr>
        <w:t xml:space="preserve">A valid job </w:t>
      </w:r>
      <w:proofErr w:type="gramStart"/>
      <w:r w:rsidR="00241AB8" w:rsidRPr="00A43321">
        <w:rPr>
          <w:rFonts w:ascii="Calibri" w:hAnsi="Calibri" w:cs="Calibri"/>
          <w:color w:val="000000" w:themeColor="text1"/>
        </w:rPr>
        <w:t>offer</w:t>
      </w:r>
      <w:proofErr w:type="gramEnd"/>
      <w:r w:rsidRPr="00A43321">
        <w:rPr>
          <w:rFonts w:ascii="Calibri" w:hAnsi="Calibri" w:cs="Calibri"/>
          <w:color w:val="000000" w:themeColor="text1"/>
        </w:rPr>
        <w:t xml:space="preserve"> from a U.S. employer for a role that requires specialty </w:t>
      </w:r>
      <w:r w:rsidR="00241AB8" w:rsidRPr="00A43321">
        <w:rPr>
          <w:rFonts w:ascii="Calibri" w:hAnsi="Calibri" w:cs="Calibri"/>
          <w:color w:val="000000" w:themeColor="text1"/>
        </w:rPr>
        <w:t>knowledge.</w:t>
      </w:r>
    </w:p>
    <w:p w14:paraId="6F2ED8DD" w14:textId="44655FDD" w:rsidR="00ED76AF" w:rsidRDefault="00A43321" w:rsidP="003A2A80">
      <w:pPr>
        <w:pStyle w:val="ListParagraph"/>
        <w:numPr>
          <w:ilvl w:val="0"/>
          <w:numId w:val="6"/>
        </w:numPr>
        <w:rPr>
          <w:rFonts w:ascii="Calibri" w:hAnsi="Calibri" w:cs="Calibri"/>
          <w:color w:val="000000" w:themeColor="text1"/>
        </w:rPr>
      </w:pPr>
      <w:r w:rsidRPr="00ED76AF">
        <w:rPr>
          <w:rFonts w:ascii="Calibri" w:hAnsi="Calibri" w:cs="Calibri"/>
          <w:color w:val="000000" w:themeColor="text1"/>
        </w:rPr>
        <w:t xml:space="preserve">Proof of all USMLE </w:t>
      </w:r>
      <w:r w:rsidR="003A2A80" w:rsidRPr="00ED76AF">
        <w:rPr>
          <w:rFonts w:ascii="Calibri" w:hAnsi="Calibri" w:cs="Calibri"/>
          <w:color w:val="000000" w:themeColor="text1"/>
        </w:rPr>
        <w:t>S</w:t>
      </w:r>
      <w:r w:rsidRPr="00ED76AF">
        <w:rPr>
          <w:rFonts w:ascii="Calibri" w:hAnsi="Calibri" w:cs="Calibri"/>
          <w:color w:val="000000" w:themeColor="text1"/>
        </w:rPr>
        <w:t xml:space="preserve">teps completed </w:t>
      </w:r>
      <w:r w:rsidR="00241AB8" w:rsidRPr="00ED76AF">
        <w:rPr>
          <w:rFonts w:ascii="Calibri" w:hAnsi="Calibri" w:cs="Calibri"/>
          <w:color w:val="000000" w:themeColor="text1"/>
        </w:rPr>
        <w:t>and evidence</w:t>
      </w:r>
      <w:r w:rsidRPr="00ED76AF">
        <w:rPr>
          <w:rFonts w:ascii="Calibri" w:hAnsi="Calibri" w:cs="Calibri"/>
          <w:color w:val="000000" w:themeColor="text1"/>
        </w:rPr>
        <w:t xml:space="preserve"> of prior training or equivalent experience in that </w:t>
      </w:r>
      <w:r w:rsidR="00241AB8" w:rsidRPr="00ED76AF">
        <w:rPr>
          <w:rFonts w:ascii="Calibri" w:hAnsi="Calibri" w:cs="Calibri"/>
          <w:color w:val="000000" w:themeColor="text1"/>
        </w:rPr>
        <w:t>field.</w:t>
      </w:r>
    </w:p>
    <w:p w14:paraId="0773B5C9" w14:textId="7DEC91BA" w:rsidR="003A2A80" w:rsidRPr="0017034C" w:rsidRDefault="00A43321" w:rsidP="003A2A80">
      <w:pPr>
        <w:pStyle w:val="ListParagraph"/>
        <w:numPr>
          <w:ilvl w:val="0"/>
          <w:numId w:val="6"/>
        </w:numPr>
        <w:rPr>
          <w:rFonts w:ascii="Calibri" w:hAnsi="Calibri" w:cs="Calibri"/>
          <w:color w:val="000000" w:themeColor="text1"/>
        </w:rPr>
      </w:pPr>
      <w:r w:rsidRPr="00ED76AF">
        <w:rPr>
          <w:rFonts w:ascii="Calibri" w:hAnsi="Calibri" w:cs="Calibri"/>
          <w:color w:val="000000" w:themeColor="text1"/>
        </w:rPr>
        <w:t xml:space="preserve">The employer must show that there is a lack of qualified U.S. applicants for the </w:t>
      </w:r>
      <w:r w:rsidR="00241AB8" w:rsidRPr="00ED76AF">
        <w:rPr>
          <w:rFonts w:ascii="Calibri" w:hAnsi="Calibri" w:cs="Calibri"/>
          <w:color w:val="000000" w:themeColor="text1"/>
        </w:rPr>
        <w:t>role.</w:t>
      </w:r>
    </w:p>
    <w:p w14:paraId="4F3E6C68" w14:textId="1ECD7A78" w:rsidR="00A43321" w:rsidRPr="0017034C" w:rsidRDefault="00A43321" w:rsidP="0017034C">
      <w:pPr>
        <w:rPr>
          <w:rFonts w:ascii="Calibri" w:hAnsi="Calibri" w:cs="Calibri"/>
          <w:color w:val="000000" w:themeColor="text1"/>
        </w:rPr>
      </w:pPr>
      <w:r w:rsidRPr="0017034C">
        <w:rPr>
          <w:rFonts w:ascii="Calibri" w:hAnsi="Calibri" w:cs="Calibri"/>
          <w:color w:val="000000" w:themeColor="text1"/>
        </w:rPr>
        <w:t>The U.S. government has set an annual cap on the number of new H-1B work visas that can be issued each fiscal year. When the demand for H-1B visas exceeds the available slots, a lottery system is used to randomly select petitions for processing.</w:t>
      </w:r>
      <w:r w:rsidR="003A2A80">
        <w:rPr>
          <w:rFonts w:ascii="Calibri" w:hAnsi="Calibri" w:cs="Calibri"/>
          <w:color w:val="000000" w:themeColor="text1"/>
        </w:rPr>
        <w:t xml:space="preserve"> </w:t>
      </w:r>
      <w:r w:rsidRPr="0017034C">
        <w:rPr>
          <w:rFonts w:ascii="Calibri" w:hAnsi="Calibri" w:cs="Calibri"/>
          <w:color w:val="000000" w:themeColor="text1"/>
        </w:rPr>
        <w:t>The H-1B cap lottery is a result of the high demand for these visas, and it can be a source of uncertainty for employers and prospective H-1B visa holders. The cost to register for the</w:t>
      </w:r>
      <w:r w:rsidR="003A2A80">
        <w:rPr>
          <w:rFonts w:ascii="Calibri" w:hAnsi="Calibri" w:cs="Calibri"/>
          <w:color w:val="000000" w:themeColor="text1"/>
        </w:rPr>
        <w:t xml:space="preserve"> </w:t>
      </w:r>
      <w:r w:rsidRPr="0017034C">
        <w:rPr>
          <w:rFonts w:ascii="Calibri" w:hAnsi="Calibri" w:cs="Calibri"/>
          <w:color w:val="000000" w:themeColor="text1"/>
        </w:rPr>
        <w:t>H-1B lottery is $215.</w:t>
      </w:r>
    </w:p>
    <w:p w14:paraId="2382D5EC" w14:textId="32E871CC" w:rsidR="00A43321" w:rsidRPr="00A23C5D" w:rsidRDefault="00A43321" w:rsidP="00A43321">
      <w:pPr>
        <w:rPr>
          <w:rFonts w:ascii="Calibri" w:hAnsi="Calibri" w:cs="Calibri"/>
          <w:color w:val="000000" w:themeColor="text1"/>
        </w:rPr>
      </w:pPr>
      <w:r w:rsidRPr="00A43321">
        <w:rPr>
          <w:rFonts w:ascii="Calibri" w:hAnsi="Calibri" w:cs="Calibri"/>
          <w:color w:val="000000" w:themeColor="text1"/>
        </w:rPr>
        <w:t>If the applicant is selected for an H-1B visa, the employer will then have to pay $780 to file Form I-129 (Petition for Nonimmigrant Worker) or $460 (in the case of small employers and nonprofits).</w:t>
      </w:r>
      <w:r w:rsidR="003A2A80">
        <w:rPr>
          <w:rFonts w:ascii="Calibri" w:hAnsi="Calibri" w:cs="Calibri"/>
          <w:color w:val="000000" w:themeColor="text1"/>
        </w:rPr>
        <w:t xml:space="preserve"> </w:t>
      </w:r>
      <w:r w:rsidRPr="00A43321">
        <w:rPr>
          <w:rFonts w:ascii="Calibri" w:hAnsi="Calibri" w:cs="Calibri"/>
          <w:color w:val="000000" w:themeColor="text1"/>
        </w:rPr>
        <w:t xml:space="preserve">Beyond Form I-129, the costs can vary, depending on the size of the company, costs to expedite the application, </w:t>
      </w:r>
      <w:r w:rsidR="00241AB8" w:rsidRPr="00A43321">
        <w:rPr>
          <w:rFonts w:ascii="Calibri" w:hAnsi="Calibri" w:cs="Calibri"/>
          <w:color w:val="000000" w:themeColor="text1"/>
        </w:rPr>
        <w:t>whether</w:t>
      </w:r>
      <w:r w:rsidRPr="00A43321">
        <w:rPr>
          <w:rFonts w:ascii="Calibri" w:hAnsi="Calibri" w:cs="Calibri"/>
          <w:color w:val="000000" w:themeColor="text1"/>
        </w:rPr>
        <w:t xml:space="preserve"> the H-1B applicant is changing employers, and attorney fees. Due to uncertainty and the cost, most program</w:t>
      </w:r>
      <w:r w:rsidR="00A37660">
        <w:rPr>
          <w:rFonts w:ascii="Calibri" w:hAnsi="Calibri" w:cs="Calibri"/>
          <w:color w:val="000000" w:themeColor="text1"/>
        </w:rPr>
        <w:t>s</w:t>
      </w:r>
      <w:r w:rsidRPr="00A43321">
        <w:rPr>
          <w:rFonts w:ascii="Calibri" w:hAnsi="Calibri" w:cs="Calibri"/>
          <w:color w:val="000000" w:themeColor="text1"/>
        </w:rPr>
        <w:t xml:space="preserve"> </w:t>
      </w:r>
      <w:r w:rsidR="00A37660">
        <w:rPr>
          <w:rFonts w:ascii="Calibri" w:hAnsi="Calibri" w:cs="Calibri"/>
          <w:color w:val="000000" w:themeColor="text1"/>
        </w:rPr>
        <w:t>opt for</w:t>
      </w:r>
      <w:r w:rsidRPr="00A43321">
        <w:rPr>
          <w:rFonts w:ascii="Calibri" w:hAnsi="Calibri" w:cs="Calibri"/>
          <w:color w:val="000000" w:themeColor="text1"/>
        </w:rPr>
        <w:t>J</w:t>
      </w:r>
      <w:r w:rsidR="003A2A80">
        <w:rPr>
          <w:rFonts w:ascii="Calibri" w:hAnsi="Calibri" w:cs="Calibri"/>
          <w:color w:val="000000" w:themeColor="text1"/>
        </w:rPr>
        <w:t>-</w:t>
      </w:r>
      <w:r w:rsidRPr="00A43321">
        <w:rPr>
          <w:rFonts w:ascii="Calibri" w:hAnsi="Calibri" w:cs="Calibri"/>
          <w:color w:val="000000" w:themeColor="text1"/>
        </w:rPr>
        <w:t>1 visa</w:t>
      </w:r>
      <w:r w:rsidR="00A37660">
        <w:rPr>
          <w:rFonts w:ascii="Calibri" w:hAnsi="Calibri" w:cs="Calibri"/>
          <w:color w:val="000000" w:themeColor="text1"/>
        </w:rPr>
        <w:t xml:space="preserve"> support</w:t>
      </w:r>
      <w:r w:rsidRPr="00A43321">
        <w:rPr>
          <w:rFonts w:ascii="Calibri" w:hAnsi="Calibri" w:cs="Calibri"/>
          <w:color w:val="000000" w:themeColor="text1"/>
        </w:rPr>
        <w:t>. Candidates prefer H</w:t>
      </w:r>
      <w:r w:rsidR="003A2A80">
        <w:rPr>
          <w:rFonts w:ascii="Calibri" w:hAnsi="Calibri" w:cs="Calibri"/>
          <w:color w:val="000000" w:themeColor="text1"/>
        </w:rPr>
        <w:t>-</w:t>
      </w:r>
      <w:r w:rsidRPr="00A43321">
        <w:rPr>
          <w:rFonts w:ascii="Calibri" w:hAnsi="Calibri" w:cs="Calibri"/>
          <w:color w:val="000000" w:themeColor="text1"/>
        </w:rPr>
        <w:t>1B visa</w:t>
      </w:r>
      <w:r w:rsidR="00ED76AF">
        <w:rPr>
          <w:rFonts w:ascii="Calibri" w:hAnsi="Calibri" w:cs="Calibri"/>
          <w:color w:val="000000" w:themeColor="text1"/>
        </w:rPr>
        <w:t>s</w:t>
      </w:r>
      <w:r w:rsidRPr="00A43321">
        <w:rPr>
          <w:rFonts w:ascii="Calibri" w:hAnsi="Calibri" w:cs="Calibri"/>
          <w:color w:val="000000" w:themeColor="text1"/>
        </w:rPr>
        <w:t xml:space="preserve"> and sometimes offer to take care of the cost, which may </w:t>
      </w:r>
      <w:r w:rsidR="00A37660">
        <w:rPr>
          <w:rFonts w:ascii="Calibri" w:hAnsi="Calibri" w:cs="Calibri"/>
          <w:color w:val="000000" w:themeColor="text1"/>
        </w:rPr>
        <w:t>be deemed questionable practice by institutional legal offices.</w:t>
      </w:r>
    </w:p>
    <w:p w14:paraId="195F5D40" w14:textId="39378F57" w:rsidR="00A43321" w:rsidRDefault="00A43321" w:rsidP="00A43321">
      <w:pPr>
        <w:rPr>
          <w:rFonts w:ascii="Cambria" w:hAnsi="Cambria"/>
          <w:color w:val="0070C0"/>
          <w:sz w:val="28"/>
          <w:szCs w:val="28"/>
        </w:rPr>
      </w:pPr>
      <w:r>
        <w:rPr>
          <w:rFonts w:ascii="Cambria" w:hAnsi="Cambria"/>
          <w:color w:val="0070C0"/>
          <w:sz w:val="28"/>
          <w:szCs w:val="28"/>
        </w:rPr>
        <w:t>Support</w:t>
      </w:r>
    </w:p>
    <w:p w14:paraId="78008FBC" w14:textId="6E6C26D5" w:rsidR="00A43321" w:rsidRPr="00A43321" w:rsidRDefault="00A43321" w:rsidP="00A43321">
      <w:pPr>
        <w:spacing w:line="240" w:lineRule="auto"/>
        <w:contextualSpacing/>
        <w:rPr>
          <w:rFonts w:ascii="Calibri" w:hAnsi="Calibri" w:cs="Calibri"/>
        </w:rPr>
      </w:pPr>
      <w:r w:rsidRPr="00A43321">
        <w:rPr>
          <w:rFonts w:ascii="Calibri" w:hAnsi="Calibri" w:cs="Calibri"/>
        </w:rPr>
        <w:t>The level of support from sponsoring institution</w:t>
      </w:r>
      <w:r w:rsidR="00A37660">
        <w:rPr>
          <w:rFonts w:ascii="Calibri" w:hAnsi="Calibri" w:cs="Calibri"/>
        </w:rPr>
        <w:t>s</w:t>
      </w:r>
      <w:r w:rsidRPr="00A43321">
        <w:rPr>
          <w:rFonts w:ascii="Calibri" w:hAnsi="Calibri" w:cs="Calibri"/>
        </w:rPr>
        <w:t xml:space="preserve"> may vary, but these tips can be useful to support IMG residents</w:t>
      </w:r>
      <w:r>
        <w:rPr>
          <w:rFonts w:ascii="Calibri" w:hAnsi="Calibri" w:cs="Calibri"/>
        </w:rPr>
        <w:t xml:space="preserve">. </w:t>
      </w:r>
      <w:r w:rsidR="00BA1AB2">
        <w:rPr>
          <w:rFonts w:ascii="Calibri" w:hAnsi="Calibri" w:cs="Calibri"/>
        </w:rPr>
        <w:t>Most of the tips below would benefit both U.S. and international graduates</w:t>
      </w:r>
      <w:r w:rsidR="00985ED5">
        <w:rPr>
          <w:rFonts w:ascii="Calibri" w:hAnsi="Calibri" w:cs="Calibri"/>
        </w:rPr>
        <w:t xml:space="preserve"> though they are particularly important for IMGs.</w:t>
      </w:r>
    </w:p>
    <w:p w14:paraId="6DA89410" w14:textId="77777777" w:rsidR="00A43321" w:rsidRDefault="00A43321" w:rsidP="00A43321">
      <w:pPr>
        <w:spacing w:line="240" w:lineRule="auto"/>
        <w:contextualSpacing/>
        <w:rPr>
          <w:rFonts w:ascii="Calibri" w:hAnsi="Calibri" w:cs="Calibri"/>
        </w:rPr>
      </w:pPr>
    </w:p>
    <w:p w14:paraId="66BA792D" w14:textId="173F2CDB" w:rsidR="00A43321" w:rsidRPr="00A43321" w:rsidRDefault="00A43321" w:rsidP="00A43321">
      <w:pPr>
        <w:spacing w:line="240" w:lineRule="auto"/>
        <w:contextualSpacing/>
        <w:rPr>
          <w:rFonts w:ascii="Calibri" w:hAnsi="Calibri" w:cs="Calibri"/>
        </w:rPr>
      </w:pPr>
      <w:r w:rsidRPr="00A43321">
        <w:rPr>
          <w:rFonts w:ascii="Calibri" w:hAnsi="Calibri" w:cs="Calibri"/>
        </w:rPr>
        <w:t>Free Time for Essential Tasks</w:t>
      </w:r>
    </w:p>
    <w:p w14:paraId="1AC7A098" w14:textId="77777777" w:rsidR="00A43321" w:rsidRPr="00A43321" w:rsidRDefault="00A43321" w:rsidP="00A43321">
      <w:pPr>
        <w:pStyle w:val="ListParagraph"/>
        <w:numPr>
          <w:ilvl w:val="0"/>
          <w:numId w:val="8"/>
        </w:numPr>
        <w:spacing w:line="240" w:lineRule="auto"/>
        <w:rPr>
          <w:rFonts w:ascii="Calibri" w:hAnsi="Calibri" w:cs="Calibri"/>
        </w:rPr>
      </w:pPr>
      <w:r w:rsidRPr="00A43321">
        <w:rPr>
          <w:rFonts w:ascii="Calibri" w:hAnsi="Calibri" w:cs="Calibri"/>
        </w:rPr>
        <w:t>Allocate free time during orientation for residents to complete tasks such as SSN applications, driver's license applications, housing, etc.</w:t>
      </w:r>
    </w:p>
    <w:p w14:paraId="7768BA9C" w14:textId="278332A2" w:rsidR="00A43321" w:rsidRPr="00A43321" w:rsidRDefault="00A43321" w:rsidP="00A43321">
      <w:pPr>
        <w:spacing w:line="240" w:lineRule="auto"/>
        <w:contextualSpacing/>
        <w:rPr>
          <w:rFonts w:ascii="Calibri" w:hAnsi="Calibri" w:cs="Calibri"/>
        </w:rPr>
      </w:pPr>
      <w:r w:rsidRPr="00A43321">
        <w:rPr>
          <w:rFonts w:ascii="Calibri" w:hAnsi="Calibri" w:cs="Calibri"/>
        </w:rPr>
        <w:t>Orientation Program</w:t>
      </w:r>
    </w:p>
    <w:p w14:paraId="07CBF93F" w14:textId="6D6EA95C" w:rsidR="00A43321" w:rsidRPr="00A43321" w:rsidRDefault="00A43321" w:rsidP="00A43321">
      <w:pPr>
        <w:pStyle w:val="ListParagraph"/>
        <w:numPr>
          <w:ilvl w:val="0"/>
          <w:numId w:val="7"/>
        </w:numPr>
        <w:spacing w:line="240" w:lineRule="auto"/>
        <w:rPr>
          <w:rFonts w:ascii="Calibri" w:hAnsi="Calibri" w:cs="Calibri"/>
        </w:rPr>
      </w:pPr>
      <w:r w:rsidRPr="00A43321">
        <w:rPr>
          <w:rFonts w:ascii="Calibri" w:hAnsi="Calibri" w:cs="Calibri"/>
        </w:rPr>
        <w:t xml:space="preserve">Consider conducting a simulation/curriculum covering topics that are important </w:t>
      </w:r>
      <w:r w:rsidR="00A37660">
        <w:rPr>
          <w:rFonts w:ascii="Calibri" w:hAnsi="Calibri" w:cs="Calibri"/>
        </w:rPr>
        <w:t>to</w:t>
      </w:r>
      <w:r w:rsidRPr="00A43321">
        <w:rPr>
          <w:rFonts w:ascii="Calibri" w:hAnsi="Calibri" w:cs="Calibri"/>
        </w:rPr>
        <w:t xml:space="preserve"> intern</w:t>
      </w:r>
      <w:r w:rsidR="00A37660">
        <w:rPr>
          <w:rFonts w:ascii="Calibri" w:hAnsi="Calibri" w:cs="Calibri"/>
        </w:rPr>
        <w:t xml:space="preserve"> function</w:t>
      </w:r>
      <w:r w:rsidRPr="00A43321">
        <w:rPr>
          <w:rFonts w:ascii="Calibri" w:hAnsi="Calibri" w:cs="Calibri"/>
        </w:rPr>
        <w:t xml:space="preserve"> such as communication and teamwork, disclosing medication errors, delivering bad news, </w:t>
      </w:r>
      <w:r w:rsidR="00A37660">
        <w:rPr>
          <w:rFonts w:ascii="Calibri" w:hAnsi="Calibri" w:cs="Calibri"/>
        </w:rPr>
        <w:t xml:space="preserve">and </w:t>
      </w:r>
      <w:r w:rsidRPr="00A43321">
        <w:rPr>
          <w:rFonts w:ascii="Calibri" w:hAnsi="Calibri" w:cs="Calibri"/>
        </w:rPr>
        <w:t>handoff in different settings.</w:t>
      </w:r>
    </w:p>
    <w:p w14:paraId="3725A20E" w14:textId="6F3A3603" w:rsidR="00A43321" w:rsidRPr="00A43321" w:rsidRDefault="00A43321" w:rsidP="00A43321">
      <w:pPr>
        <w:spacing w:line="240" w:lineRule="auto"/>
        <w:contextualSpacing/>
        <w:rPr>
          <w:rFonts w:ascii="Calibri" w:hAnsi="Calibri" w:cs="Calibri"/>
        </w:rPr>
      </w:pPr>
      <w:r w:rsidRPr="00A43321">
        <w:rPr>
          <w:rFonts w:ascii="Calibri" w:hAnsi="Calibri" w:cs="Calibri"/>
        </w:rPr>
        <w:t>Educational Sessions</w:t>
      </w:r>
    </w:p>
    <w:p w14:paraId="39C6C775" w14:textId="77777777" w:rsidR="00A43321" w:rsidRPr="00A43321" w:rsidRDefault="00A43321" w:rsidP="00A43321">
      <w:pPr>
        <w:pStyle w:val="ListParagraph"/>
        <w:numPr>
          <w:ilvl w:val="0"/>
          <w:numId w:val="7"/>
        </w:numPr>
        <w:spacing w:line="240" w:lineRule="auto"/>
        <w:rPr>
          <w:rFonts w:ascii="Calibri" w:hAnsi="Calibri" w:cs="Calibri"/>
        </w:rPr>
      </w:pPr>
      <w:r w:rsidRPr="00A43321">
        <w:rPr>
          <w:rFonts w:ascii="Calibri" w:hAnsi="Calibri" w:cs="Calibri"/>
        </w:rPr>
        <w:t>Host sessions focusing on:</w:t>
      </w:r>
    </w:p>
    <w:p w14:paraId="19DE9B37" w14:textId="77777777" w:rsidR="00A43321" w:rsidRPr="00A43321" w:rsidRDefault="00A43321" w:rsidP="00A43321">
      <w:pPr>
        <w:pStyle w:val="ListParagraph"/>
        <w:numPr>
          <w:ilvl w:val="1"/>
          <w:numId w:val="7"/>
        </w:numPr>
        <w:spacing w:line="240" w:lineRule="auto"/>
        <w:rPr>
          <w:rFonts w:ascii="Calibri" w:hAnsi="Calibri" w:cs="Calibri"/>
        </w:rPr>
      </w:pPr>
      <w:r w:rsidRPr="00A43321">
        <w:rPr>
          <w:rFonts w:ascii="Calibri" w:hAnsi="Calibri" w:cs="Calibri"/>
        </w:rPr>
        <w:t>The role of the resident with medical students</w:t>
      </w:r>
    </w:p>
    <w:p w14:paraId="0BF539F1" w14:textId="77777777" w:rsidR="00A43321" w:rsidRPr="00A43321" w:rsidRDefault="00A43321" w:rsidP="00A43321">
      <w:pPr>
        <w:pStyle w:val="ListParagraph"/>
        <w:numPr>
          <w:ilvl w:val="1"/>
          <w:numId w:val="7"/>
        </w:numPr>
        <w:spacing w:line="240" w:lineRule="auto"/>
        <w:rPr>
          <w:rFonts w:ascii="Calibri" w:hAnsi="Calibri" w:cs="Calibri"/>
        </w:rPr>
      </w:pPr>
      <w:r w:rsidRPr="00A43321">
        <w:rPr>
          <w:rFonts w:ascii="Calibri" w:hAnsi="Calibri" w:cs="Calibri"/>
        </w:rPr>
        <w:t>Educational expectations (Milestones, EPAs)</w:t>
      </w:r>
    </w:p>
    <w:p w14:paraId="59BC856D" w14:textId="2736F4AC" w:rsidR="00A43321" w:rsidRPr="00A43321" w:rsidRDefault="00A43321" w:rsidP="00A43321">
      <w:pPr>
        <w:spacing w:line="240" w:lineRule="auto"/>
        <w:contextualSpacing/>
        <w:rPr>
          <w:rFonts w:ascii="Calibri" w:hAnsi="Calibri" w:cs="Calibri"/>
        </w:rPr>
      </w:pPr>
      <w:r w:rsidRPr="00A43321">
        <w:rPr>
          <w:rFonts w:ascii="Calibri" w:hAnsi="Calibri" w:cs="Calibri"/>
        </w:rPr>
        <w:t>Workshops</w:t>
      </w:r>
    </w:p>
    <w:p w14:paraId="30578D40" w14:textId="7D8A59EA" w:rsidR="00A43321" w:rsidRPr="00A43321" w:rsidRDefault="00A43321" w:rsidP="00A43321">
      <w:pPr>
        <w:pStyle w:val="ListParagraph"/>
        <w:numPr>
          <w:ilvl w:val="0"/>
          <w:numId w:val="7"/>
        </w:numPr>
        <w:spacing w:line="240" w:lineRule="auto"/>
        <w:rPr>
          <w:rFonts w:ascii="Calibri" w:hAnsi="Calibri" w:cs="Calibri"/>
        </w:rPr>
      </w:pPr>
      <w:r w:rsidRPr="00A43321">
        <w:rPr>
          <w:rFonts w:ascii="Calibri" w:hAnsi="Calibri" w:cs="Calibri"/>
        </w:rPr>
        <w:t xml:space="preserve">Organize 2-4 workshops in the first couple of months to address various topics such as gathering HPI in different clinical settings, HEADSS assessment, how to develop a good assessment and plan, </w:t>
      </w:r>
      <w:r w:rsidR="00A37660">
        <w:rPr>
          <w:rFonts w:ascii="Calibri" w:hAnsi="Calibri" w:cs="Calibri"/>
        </w:rPr>
        <w:t xml:space="preserve">cultural differences in treatment of physicians, cultural differences in trainee agency, </w:t>
      </w:r>
      <w:r w:rsidRPr="00A43321">
        <w:rPr>
          <w:rFonts w:ascii="Calibri" w:hAnsi="Calibri" w:cs="Calibri"/>
        </w:rPr>
        <w:t>etc.</w:t>
      </w:r>
    </w:p>
    <w:p w14:paraId="29D2A43F" w14:textId="77777777" w:rsidR="00A43321" w:rsidRPr="00A43321" w:rsidRDefault="00A43321" w:rsidP="00A43321">
      <w:pPr>
        <w:pStyle w:val="ListParagraph"/>
        <w:numPr>
          <w:ilvl w:val="0"/>
          <w:numId w:val="7"/>
        </w:numPr>
        <w:spacing w:line="240" w:lineRule="auto"/>
        <w:rPr>
          <w:rFonts w:ascii="Calibri" w:hAnsi="Calibri" w:cs="Calibri"/>
        </w:rPr>
      </w:pPr>
      <w:r w:rsidRPr="00A43321">
        <w:rPr>
          <w:rFonts w:ascii="Calibri" w:hAnsi="Calibri" w:cs="Calibri"/>
        </w:rPr>
        <w:t>Address specific deficiencies identified by residents or attendings in the first few weeks.</w:t>
      </w:r>
    </w:p>
    <w:p w14:paraId="10F3D01E" w14:textId="02552D66" w:rsidR="00A43321" w:rsidRPr="00A43321" w:rsidRDefault="00A43321" w:rsidP="00A43321">
      <w:pPr>
        <w:spacing w:line="240" w:lineRule="auto"/>
        <w:contextualSpacing/>
        <w:rPr>
          <w:rFonts w:ascii="Calibri" w:hAnsi="Calibri" w:cs="Calibri"/>
        </w:rPr>
      </w:pPr>
      <w:r w:rsidRPr="00A43321">
        <w:rPr>
          <w:rFonts w:ascii="Calibri" w:hAnsi="Calibri" w:cs="Calibri"/>
        </w:rPr>
        <w:lastRenderedPageBreak/>
        <w:t>Support Systems</w:t>
      </w:r>
    </w:p>
    <w:p w14:paraId="7483D075" w14:textId="77777777" w:rsidR="00A43321" w:rsidRPr="00A43321" w:rsidRDefault="00A43321" w:rsidP="00A43321">
      <w:pPr>
        <w:pStyle w:val="ListParagraph"/>
        <w:numPr>
          <w:ilvl w:val="0"/>
          <w:numId w:val="9"/>
        </w:numPr>
        <w:spacing w:line="240" w:lineRule="auto"/>
        <w:rPr>
          <w:rFonts w:ascii="Calibri" w:hAnsi="Calibri" w:cs="Calibri"/>
        </w:rPr>
      </w:pPr>
      <w:r w:rsidRPr="00A43321">
        <w:rPr>
          <w:rFonts w:ascii="Calibri" w:hAnsi="Calibri" w:cs="Calibri"/>
        </w:rPr>
        <w:t>Facilitate carpooling for interns who do not have cars in the first few months, usually organized by residents.</w:t>
      </w:r>
    </w:p>
    <w:p w14:paraId="7FE1163B" w14:textId="77777777" w:rsidR="00A43321" w:rsidRPr="00A43321" w:rsidRDefault="00A43321" w:rsidP="00A43321">
      <w:pPr>
        <w:pStyle w:val="ListParagraph"/>
        <w:numPr>
          <w:ilvl w:val="0"/>
          <w:numId w:val="9"/>
        </w:numPr>
        <w:spacing w:line="240" w:lineRule="auto"/>
        <w:rPr>
          <w:rFonts w:ascii="Calibri" w:hAnsi="Calibri" w:cs="Calibri"/>
        </w:rPr>
      </w:pPr>
      <w:r w:rsidRPr="00A43321">
        <w:rPr>
          <w:rFonts w:ascii="Calibri" w:hAnsi="Calibri" w:cs="Calibri"/>
        </w:rPr>
        <w:t>Collect and accommodate food preferences (vegetarian, halal, gluten-free, etc.).</w:t>
      </w:r>
    </w:p>
    <w:p w14:paraId="791ECDD7" w14:textId="77777777" w:rsidR="00A43321" w:rsidRPr="00A43321" w:rsidRDefault="00A43321" w:rsidP="00A43321">
      <w:pPr>
        <w:pStyle w:val="ListParagraph"/>
        <w:numPr>
          <w:ilvl w:val="0"/>
          <w:numId w:val="9"/>
        </w:numPr>
        <w:spacing w:line="240" w:lineRule="auto"/>
        <w:rPr>
          <w:rFonts w:ascii="Calibri" w:hAnsi="Calibri" w:cs="Calibri"/>
        </w:rPr>
      </w:pPr>
      <w:r w:rsidRPr="00A43321">
        <w:rPr>
          <w:rFonts w:ascii="Calibri" w:hAnsi="Calibri" w:cs="Calibri"/>
        </w:rPr>
        <w:t>Provide access to an interfaith chapel for spiritual needs.</w:t>
      </w:r>
    </w:p>
    <w:p w14:paraId="2DCBAD6A" w14:textId="77777777" w:rsidR="00A43321" w:rsidRPr="00A43321" w:rsidRDefault="00A43321" w:rsidP="00A43321">
      <w:pPr>
        <w:pStyle w:val="ListParagraph"/>
        <w:numPr>
          <w:ilvl w:val="0"/>
          <w:numId w:val="9"/>
        </w:numPr>
        <w:spacing w:line="240" w:lineRule="auto"/>
        <w:rPr>
          <w:rFonts w:ascii="Calibri" w:hAnsi="Calibri" w:cs="Calibri"/>
        </w:rPr>
      </w:pPr>
      <w:r w:rsidRPr="00A43321">
        <w:rPr>
          <w:rFonts w:ascii="Calibri" w:hAnsi="Calibri" w:cs="Calibri"/>
        </w:rPr>
        <w:t>Offer an Employee Assistance Program for mental health support.</w:t>
      </w:r>
    </w:p>
    <w:p w14:paraId="79C87C2B" w14:textId="77777777" w:rsidR="00A43321" w:rsidRPr="00A43321" w:rsidRDefault="00A43321" w:rsidP="00A43321">
      <w:pPr>
        <w:pStyle w:val="ListParagraph"/>
        <w:numPr>
          <w:ilvl w:val="0"/>
          <w:numId w:val="9"/>
        </w:numPr>
        <w:spacing w:line="240" w:lineRule="auto"/>
        <w:rPr>
          <w:rFonts w:ascii="Calibri" w:hAnsi="Calibri" w:cs="Calibri"/>
        </w:rPr>
      </w:pPr>
      <w:r w:rsidRPr="00A43321">
        <w:rPr>
          <w:rFonts w:ascii="Calibri" w:hAnsi="Calibri" w:cs="Calibri"/>
        </w:rPr>
        <w:t>Conduct regular professional and well-being check-ins by program coordinators and/or chief residents.</w:t>
      </w:r>
    </w:p>
    <w:p w14:paraId="5BFD29F3" w14:textId="18BB5D67" w:rsidR="00A43321" w:rsidRPr="00A43321" w:rsidRDefault="00A43321" w:rsidP="00A43321">
      <w:pPr>
        <w:spacing w:line="240" w:lineRule="auto"/>
        <w:contextualSpacing/>
        <w:rPr>
          <w:rFonts w:ascii="Calibri" w:hAnsi="Calibri" w:cs="Calibri"/>
        </w:rPr>
      </w:pPr>
      <w:r w:rsidRPr="00A43321">
        <w:rPr>
          <w:rFonts w:ascii="Calibri" w:hAnsi="Calibri" w:cs="Calibri"/>
        </w:rPr>
        <w:t>Mentorship and Support</w:t>
      </w:r>
    </w:p>
    <w:p w14:paraId="1A3F334F" w14:textId="69780801" w:rsidR="00A43321" w:rsidRPr="00A43321" w:rsidRDefault="00A43321" w:rsidP="00A43321">
      <w:pPr>
        <w:pStyle w:val="ListParagraph"/>
        <w:numPr>
          <w:ilvl w:val="0"/>
          <w:numId w:val="10"/>
        </w:numPr>
        <w:spacing w:line="240" w:lineRule="auto"/>
        <w:rPr>
          <w:rFonts w:ascii="Calibri" w:hAnsi="Calibri" w:cs="Calibri"/>
        </w:rPr>
      </w:pPr>
      <w:r w:rsidRPr="00A43321">
        <w:rPr>
          <w:rFonts w:ascii="Calibri" w:hAnsi="Calibri" w:cs="Calibri"/>
        </w:rPr>
        <w:t xml:space="preserve">Assign a senior </w:t>
      </w:r>
      <w:r w:rsidR="00A84C41">
        <w:rPr>
          <w:rFonts w:ascii="Calibri" w:hAnsi="Calibri" w:cs="Calibri"/>
        </w:rPr>
        <w:t>‘</w:t>
      </w:r>
      <w:r w:rsidRPr="00A43321">
        <w:rPr>
          <w:rFonts w:ascii="Calibri" w:hAnsi="Calibri" w:cs="Calibri"/>
        </w:rPr>
        <w:t>buddy</w:t>
      </w:r>
      <w:r w:rsidR="00A84C41">
        <w:rPr>
          <w:rFonts w:ascii="Calibri" w:hAnsi="Calibri" w:cs="Calibri"/>
        </w:rPr>
        <w:t>’</w:t>
      </w:r>
      <w:r w:rsidRPr="00A43321">
        <w:rPr>
          <w:rFonts w:ascii="Calibri" w:hAnsi="Calibri" w:cs="Calibri"/>
        </w:rPr>
        <w:t xml:space="preserve"> to each intern during onboarding.</w:t>
      </w:r>
    </w:p>
    <w:p w14:paraId="05A023FC" w14:textId="77777777" w:rsidR="00A43321" w:rsidRPr="00A43321" w:rsidRDefault="00A43321" w:rsidP="00A43321">
      <w:pPr>
        <w:pStyle w:val="ListParagraph"/>
        <w:numPr>
          <w:ilvl w:val="0"/>
          <w:numId w:val="10"/>
        </w:numPr>
        <w:spacing w:line="240" w:lineRule="auto"/>
        <w:rPr>
          <w:rFonts w:ascii="Calibri" w:hAnsi="Calibri" w:cs="Calibri"/>
        </w:rPr>
      </w:pPr>
      <w:r w:rsidRPr="00A43321">
        <w:rPr>
          <w:rFonts w:ascii="Calibri" w:hAnsi="Calibri" w:cs="Calibri"/>
        </w:rPr>
        <w:t>Assign a mentor when clinical duties begin. Ensure interns/residents meet with mentors at least once per quarter covering:</w:t>
      </w:r>
    </w:p>
    <w:p w14:paraId="6B913C8E" w14:textId="77777777" w:rsidR="00A43321" w:rsidRPr="00A43321" w:rsidRDefault="00A43321" w:rsidP="00A43321">
      <w:pPr>
        <w:pStyle w:val="ListParagraph"/>
        <w:numPr>
          <w:ilvl w:val="1"/>
          <w:numId w:val="10"/>
        </w:numPr>
        <w:spacing w:line="240" w:lineRule="auto"/>
        <w:rPr>
          <w:rFonts w:ascii="Calibri" w:hAnsi="Calibri" w:cs="Calibri"/>
        </w:rPr>
      </w:pPr>
      <w:r w:rsidRPr="00A43321">
        <w:rPr>
          <w:rFonts w:ascii="Calibri" w:hAnsi="Calibri" w:cs="Calibri"/>
        </w:rPr>
        <w:t>Residents' concerns</w:t>
      </w:r>
    </w:p>
    <w:p w14:paraId="3DCD14C3" w14:textId="77777777" w:rsidR="00A43321" w:rsidRPr="00A43321" w:rsidRDefault="00A43321" w:rsidP="00A43321">
      <w:pPr>
        <w:pStyle w:val="ListParagraph"/>
        <w:numPr>
          <w:ilvl w:val="1"/>
          <w:numId w:val="10"/>
        </w:numPr>
        <w:spacing w:line="240" w:lineRule="auto"/>
        <w:rPr>
          <w:rFonts w:ascii="Calibri" w:hAnsi="Calibri" w:cs="Calibri"/>
        </w:rPr>
      </w:pPr>
      <w:r w:rsidRPr="00A43321">
        <w:rPr>
          <w:rFonts w:ascii="Calibri" w:hAnsi="Calibri" w:cs="Calibri"/>
        </w:rPr>
        <w:t>Conference attendance</w:t>
      </w:r>
    </w:p>
    <w:p w14:paraId="7FA25C5F" w14:textId="77777777" w:rsidR="00A43321" w:rsidRPr="00A43321" w:rsidRDefault="00A43321" w:rsidP="00A43321">
      <w:pPr>
        <w:pStyle w:val="ListParagraph"/>
        <w:numPr>
          <w:ilvl w:val="1"/>
          <w:numId w:val="10"/>
        </w:numPr>
        <w:spacing w:line="240" w:lineRule="auto"/>
        <w:rPr>
          <w:rFonts w:ascii="Calibri" w:hAnsi="Calibri" w:cs="Calibri"/>
        </w:rPr>
      </w:pPr>
      <w:r w:rsidRPr="00A43321">
        <w:rPr>
          <w:rFonts w:ascii="Calibri" w:hAnsi="Calibri" w:cs="Calibri"/>
        </w:rPr>
        <w:t>Evaluations</w:t>
      </w:r>
    </w:p>
    <w:p w14:paraId="12BE990F" w14:textId="77777777" w:rsidR="00A43321" w:rsidRPr="00A43321" w:rsidRDefault="00A43321" w:rsidP="00A43321">
      <w:pPr>
        <w:pStyle w:val="ListParagraph"/>
        <w:numPr>
          <w:ilvl w:val="1"/>
          <w:numId w:val="10"/>
        </w:numPr>
        <w:spacing w:line="240" w:lineRule="auto"/>
        <w:rPr>
          <w:rFonts w:ascii="Calibri" w:hAnsi="Calibri" w:cs="Calibri"/>
        </w:rPr>
      </w:pPr>
      <w:r w:rsidRPr="00A43321">
        <w:rPr>
          <w:rFonts w:ascii="Calibri" w:hAnsi="Calibri" w:cs="Calibri"/>
        </w:rPr>
        <w:t>Procedure logs</w:t>
      </w:r>
    </w:p>
    <w:p w14:paraId="35028155" w14:textId="77777777" w:rsidR="00A43321" w:rsidRPr="00A43321" w:rsidRDefault="00A43321" w:rsidP="00A43321">
      <w:pPr>
        <w:pStyle w:val="ListParagraph"/>
        <w:numPr>
          <w:ilvl w:val="1"/>
          <w:numId w:val="10"/>
        </w:numPr>
        <w:spacing w:line="240" w:lineRule="auto"/>
        <w:rPr>
          <w:rFonts w:ascii="Calibri" w:hAnsi="Calibri" w:cs="Calibri"/>
        </w:rPr>
      </w:pPr>
      <w:r w:rsidRPr="00A43321">
        <w:rPr>
          <w:rFonts w:ascii="Calibri" w:hAnsi="Calibri" w:cs="Calibri"/>
        </w:rPr>
        <w:t>Individualized learning plans</w:t>
      </w:r>
    </w:p>
    <w:p w14:paraId="3C286C27" w14:textId="77777777" w:rsidR="00A43321" w:rsidRPr="00A43321" w:rsidRDefault="00A43321" w:rsidP="00A43321">
      <w:pPr>
        <w:pStyle w:val="ListParagraph"/>
        <w:numPr>
          <w:ilvl w:val="1"/>
          <w:numId w:val="10"/>
        </w:numPr>
        <w:spacing w:line="240" w:lineRule="auto"/>
        <w:rPr>
          <w:rFonts w:ascii="Calibri" w:hAnsi="Calibri" w:cs="Calibri"/>
        </w:rPr>
      </w:pPr>
      <w:r w:rsidRPr="00A43321">
        <w:rPr>
          <w:rFonts w:ascii="Calibri" w:hAnsi="Calibri" w:cs="Calibri"/>
        </w:rPr>
        <w:t>Board preparation</w:t>
      </w:r>
    </w:p>
    <w:p w14:paraId="75C9D893" w14:textId="77777777" w:rsidR="00A43321" w:rsidRPr="00A43321" w:rsidRDefault="00A43321" w:rsidP="00A43321">
      <w:pPr>
        <w:pStyle w:val="ListParagraph"/>
        <w:numPr>
          <w:ilvl w:val="1"/>
          <w:numId w:val="10"/>
        </w:numPr>
        <w:spacing w:line="240" w:lineRule="auto"/>
        <w:rPr>
          <w:rFonts w:ascii="Calibri" w:hAnsi="Calibri" w:cs="Calibri"/>
        </w:rPr>
      </w:pPr>
      <w:r w:rsidRPr="00A43321">
        <w:rPr>
          <w:rFonts w:ascii="Calibri" w:hAnsi="Calibri" w:cs="Calibri"/>
        </w:rPr>
        <w:t>Scholarly activity</w:t>
      </w:r>
    </w:p>
    <w:p w14:paraId="5B867962" w14:textId="77777777" w:rsidR="00A43321" w:rsidRPr="00A43321" w:rsidRDefault="00A43321" w:rsidP="00A43321">
      <w:pPr>
        <w:pStyle w:val="ListParagraph"/>
        <w:numPr>
          <w:ilvl w:val="1"/>
          <w:numId w:val="10"/>
        </w:numPr>
        <w:spacing w:line="240" w:lineRule="auto"/>
        <w:rPr>
          <w:rFonts w:ascii="Calibri" w:hAnsi="Calibri" w:cs="Calibri"/>
        </w:rPr>
      </w:pPr>
      <w:r w:rsidRPr="00A43321">
        <w:rPr>
          <w:rFonts w:ascii="Calibri" w:hAnsi="Calibri" w:cs="Calibri"/>
        </w:rPr>
        <w:t>Emotional health and well-being</w:t>
      </w:r>
    </w:p>
    <w:p w14:paraId="50EB99B7" w14:textId="77777777" w:rsidR="00A43321" w:rsidRPr="00A43321" w:rsidRDefault="00A43321" w:rsidP="00A43321">
      <w:pPr>
        <w:pStyle w:val="ListParagraph"/>
        <w:numPr>
          <w:ilvl w:val="1"/>
          <w:numId w:val="10"/>
        </w:numPr>
        <w:spacing w:line="240" w:lineRule="auto"/>
        <w:rPr>
          <w:rFonts w:ascii="Calibri" w:hAnsi="Calibri" w:cs="Calibri"/>
        </w:rPr>
      </w:pPr>
      <w:r w:rsidRPr="00A43321">
        <w:rPr>
          <w:rFonts w:ascii="Calibri" w:hAnsi="Calibri" w:cs="Calibri"/>
        </w:rPr>
        <w:t>Career planning</w:t>
      </w:r>
    </w:p>
    <w:p w14:paraId="7974D7A5" w14:textId="77777777" w:rsidR="00A43321" w:rsidRPr="00A43321" w:rsidRDefault="00A43321" w:rsidP="00A43321">
      <w:pPr>
        <w:pStyle w:val="ListParagraph"/>
        <w:numPr>
          <w:ilvl w:val="0"/>
          <w:numId w:val="10"/>
        </w:numPr>
        <w:spacing w:line="240" w:lineRule="auto"/>
        <w:rPr>
          <w:rFonts w:ascii="Calibri" w:hAnsi="Calibri" w:cs="Calibri"/>
        </w:rPr>
      </w:pPr>
      <w:r w:rsidRPr="00A43321">
        <w:rPr>
          <w:rFonts w:ascii="Calibri" w:hAnsi="Calibri" w:cs="Calibri"/>
        </w:rPr>
        <w:t>Mentors will submit a report for the record.</w:t>
      </w:r>
    </w:p>
    <w:p w14:paraId="3425EFAA" w14:textId="390EFC14" w:rsidR="008B6918" w:rsidRPr="00A43321" w:rsidRDefault="008B6918" w:rsidP="00DC4460">
      <w:pPr>
        <w:spacing w:after="0"/>
        <w:rPr>
          <w:rFonts w:ascii="Calibri" w:hAnsi="Calibri" w:cs="Calibri"/>
          <w:color w:val="000000" w:themeColor="text1"/>
        </w:rPr>
      </w:pPr>
    </w:p>
    <w:p w14:paraId="1695A00A" w14:textId="77777777" w:rsidR="00A43321" w:rsidRDefault="00A43321" w:rsidP="007C2604">
      <w:pPr>
        <w:spacing w:after="0"/>
        <w:rPr>
          <w:rFonts w:ascii="Cambria" w:hAnsi="Cambria"/>
          <w:color w:val="0070C0"/>
          <w:sz w:val="28"/>
          <w:szCs w:val="28"/>
        </w:rPr>
      </w:pPr>
      <w:r>
        <w:rPr>
          <w:rFonts w:ascii="Cambria" w:hAnsi="Cambria"/>
          <w:color w:val="0070C0"/>
          <w:sz w:val="28"/>
          <w:szCs w:val="28"/>
        </w:rPr>
        <w:t xml:space="preserve">Acculturation </w:t>
      </w:r>
    </w:p>
    <w:p w14:paraId="3613E48D" w14:textId="184CA59A" w:rsidR="00A43321" w:rsidRDefault="00A43321" w:rsidP="00A43321">
      <w:pPr>
        <w:rPr>
          <w:rStyle w:val="normaltextrun"/>
          <w:rFonts w:ascii="Calibri" w:hAnsi="Calibri" w:cs="Calibri"/>
          <w:shd w:val="clear" w:color="auto" w:fill="FFFFFF"/>
        </w:rPr>
      </w:pPr>
      <w:r w:rsidRPr="00A43321">
        <w:rPr>
          <w:rStyle w:val="normaltextrun"/>
          <w:rFonts w:ascii="Calibri" w:hAnsi="Calibri" w:cs="Calibri"/>
          <w:shd w:val="clear" w:color="auto" w:fill="FFFFFF"/>
        </w:rPr>
        <w:t>Acculturation for a new physician in the U</w:t>
      </w:r>
      <w:r w:rsidR="00985ED5">
        <w:rPr>
          <w:rStyle w:val="normaltextrun"/>
          <w:rFonts w:ascii="Calibri" w:hAnsi="Calibri" w:cs="Calibri"/>
          <w:shd w:val="clear" w:color="auto" w:fill="FFFFFF"/>
        </w:rPr>
        <w:t>.</w:t>
      </w:r>
      <w:r w:rsidRPr="00A43321">
        <w:rPr>
          <w:rStyle w:val="normaltextrun"/>
          <w:rFonts w:ascii="Calibri" w:hAnsi="Calibri" w:cs="Calibri"/>
          <w:shd w:val="clear" w:color="auto" w:fill="FFFFFF"/>
        </w:rPr>
        <w:t>S</w:t>
      </w:r>
      <w:r w:rsidR="00985ED5">
        <w:rPr>
          <w:rStyle w:val="normaltextrun"/>
          <w:rFonts w:ascii="Calibri" w:hAnsi="Calibri" w:cs="Calibri"/>
          <w:shd w:val="clear" w:color="auto" w:fill="FFFFFF"/>
        </w:rPr>
        <w:t>.</w:t>
      </w:r>
      <w:r w:rsidRPr="00A43321">
        <w:rPr>
          <w:rStyle w:val="normaltextrun"/>
          <w:rFonts w:ascii="Calibri" w:hAnsi="Calibri" w:cs="Calibri"/>
          <w:shd w:val="clear" w:color="auto" w:fill="FFFFFF"/>
        </w:rPr>
        <w:t xml:space="preserve"> involves both professional and social integration. Many of the suggestions listed here apply to </w:t>
      </w:r>
      <w:r w:rsidR="00985ED5">
        <w:rPr>
          <w:rStyle w:val="normaltextrun"/>
          <w:rFonts w:ascii="Calibri" w:hAnsi="Calibri" w:cs="Calibri"/>
          <w:shd w:val="clear" w:color="auto" w:fill="FFFFFF"/>
        </w:rPr>
        <w:t>all new residents</w:t>
      </w:r>
      <w:r w:rsidRPr="00A43321">
        <w:rPr>
          <w:rStyle w:val="normaltextrun"/>
          <w:rFonts w:ascii="Calibri" w:hAnsi="Calibri" w:cs="Calibri"/>
          <w:shd w:val="clear" w:color="auto" w:fill="FFFFFF"/>
        </w:rPr>
        <w:t xml:space="preserve"> and can be implemented as soon as the Match</w:t>
      </w:r>
      <w:r w:rsidR="00A37660">
        <w:rPr>
          <w:rStyle w:val="normaltextrun"/>
          <w:rFonts w:ascii="Calibri" w:hAnsi="Calibri" w:cs="Calibri"/>
          <w:shd w:val="clear" w:color="auto" w:fill="FFFFFF"/>
        </w:rPr>
        <w:t xml:space="preserve"> occurs</w:t>
      </w:r>
      <w:r w:rsidRPr="00A43321">
        <w:rPr>
          <w:rStyle w:val="normaltextrun"/>
          <w:rFonts w:ascii="Calibri" w:hAnsi="Calibri" w:cs="Calibri"/>
          <w:shd w:val="clear" w:color="auto" w:fill="FFFFFF"/>
        </w:rPr>
        <w:t xml:space="preserve">. </w:t>
      </w:r>
    </w:p>
    <w:p w14:paraId="2ECFCDF0" w14:textId="3D3546E7" w:rsidR="00A43321" w:rsidRDefault="00A43321" w:rsidP="00A43321">
      <w:pPr>
        <w:spacing w:after="0"/>
        <w:rPr>
          <w:rStyle w:val="normaltextrun"/>
          <w:rFonts w:ascii="Calibri" w:hAnsi="Calibri" w:cs="Calibri"/>
          <w:shd w:val="clear" w:color="auto" w:fill="FFFFFF"/>
        </w:rPr>
      </w:pPr>
      <w:r>
        <w:rPr>
          <w:rFonts w:ascii="Cambria" w:hAnsi="Cambria" w:cstheme="minorHAnsi"/>
          <w:i/>
          <w:iCs/>
          <w:color w:val="2F5496" w:themeColor="accent1" w:themeShade="BF"/>
          <w:sz w:val="24"/>
          <w:szCs w:val="24"/>
        </w:rPr>
        <w:t xml:space="preserve">Professional Integration </w:t>
      </w:r>
    </w:p>
    <w:p w14:paraId="3731429D" w14:textId="61620582" w:rsidR="00A43321" w:rsidRPr="0017034C" w:rsidRDefault="00A43321" w:rsidP="00A43321">
      <w:pPr>
        <w:pStyle w:val="paragraph"/>
        <w:numPr>
          <w:ilvl w:val="0"/>
          <w:numId w:val="14"/>
        </w:numPr>
        <w:spacing w:before="0" w:beforeAutospacing="0" w:after="0" w:afterAutospacing="0"/>
        <w:textAlignment w:val="baseline"/>
        <w:rPr>
          <w:rFonts w:asciiTheme="minorHAnsi" w:hAnsiTheme="minorHAnsi" w:cstheme="minorHAnsi"/>
          <w:sz w:val="22"/>
          <w:szCs w:val="22"/>
        </w:rPr>
      </w:pPr>
      <w:r w:rsidRPr="0017034C">
        <w:rPr>
          <w:rStyle w:val="normaltextrun"/>
          <w:rFonts w:asciiTheme="minorHAnsi" w:eastAsiaTheme="majorEastAsia" w:hAnsiTheme="minorHAnsi" w:cstheme="minorHAnsi"/>
          <w:b/>
          <w:bCs/>
          <w:sz w:val="22"/>
          <w:szCs w:val="22"/>
        </w:rPr>
        <w:t>Orientation Programs:</w:t>
      </w:r>
      <w:r w:rsidRPr="0017034C">
        <w:rPr>
          <w:rStyle w:val="normaltextrun"/>
          <w:rFonts w:asciiTheme="minorHAnsi" w:eastAsiaTheme="majorEastAsia" w:hAnsiTheme="minorHAnsi" w:cstheme="minorHAnsi"/>
          <w:sz w:val="22"/>
          <w:szCs w:val="22"/>
        </w:rPr>
        <w:t xml:space="preserve"> Provide comprehensive orientation</w:t>
      </w:r>
      <w:r w:rsidR="00985ED5">
        <w:rPr>
          <w:rStyle w:val="normaltextrun"/>
          <w:rFonts w:asciiTheme="minorHAnsi" w:eastAsiaTheme="majorEastAsia" w:hAnsiTheme="minorHAnsi" w:cstheme="minorHAnsi"/>
          <w:sz w:val="22"/>
          <w:szCs w:val="22"/>
        </w:rPr>
        <w:t xml:space="preserve"> of</w:t>
      </w:r>
      <w:r w:rsidRPr="0017034C">
        <w:rPr>
          <w:rStyle w:val="normaltextrun"/>
          <w:rFonts w:asciiTheme="minorHAnsi" w:eastAsiaTheme="majorEastAsia" w:hAnsiTheme="minorHAnsi" w:cstheme="minorHAnsi"/>
          <w:sz w:val="22"/>
          <w:szCs w:val="22"/>
        </w:rPr>
        <w:t xml:space="preserve"> programs that cover hospital policies, electronic health record systems, clinical rotations, and local resources (for example, Women, Infant, Children (WIC) Program, social </w:t>
      </w:r>
      <w:r w:rsidR="00696791" w:rsidRPr="0017034C">
        <w:rPr>
          <w:rStyle w:val="normaltextrun"/>
          <w:rFonts w:asciiTheme="minorHAnsi" w:eastAsiaTheme="majorEastAsia" w:hAnsiTheme="minorHAnsi" w:cstheme="minorHAnsi"/>
          <w:sz w:val="22"/>
          <w:szCs w:val="22"/>
        </w:rPr>
        <w:t xml:space="preserve">work, specialist services, </w:t>
      </w:r>
      <w:proofErr w:type="spellStart"/>
      <w:r w:rsidR="00696791" w:rsidRPr="0017034C">
        <w:rPr>
          <w:rStyle w:val="normaltextrun"/>
          <w:rFonts w:asciiTheme="minorHAnsi" w:eastAsiaTheme="majorEastAsia" w:hAnsiTheme="minorHAnsi" w:cstheme="minorHAnsi"/>
          <w:sz w:val="22"/>
          <w:szCs w:val="22"/>
        </w:rPr>
        <w:t>etc</w:t>
      </w:r>
      <w:proofErr w:type="spellEnd"/>
      <w:r w:rsidR="00696791" w:rsidRPr="0017034C">
        <w:rPr>
          <w:rStyle w:val="normaltextrun"/>
          <w:rFonts w:asciiTheme="minorHAnsi" w:eastAsiaTheme="majorEastAsia" w:hAnsiTheme="minorHAnsi" w:cstheme="minorHAnsi"/>
          <w:sz w:val="22"/>
          <w:szCs w:val="22"/>
        </w:rPr>
        <w:t>)</w:t>
      </w:r>
      <w:r w:rsidRPr="0017034C">
        <w:rPr>
          <w:rStyle w:val="normaltextrun"/>
          <w:rFonts w:asciiTheme="minorHAnsi" w:eastAsiaTheme="majorEastAsia" w:hAnsiTheme="minorHAnsi" w:cstheme="minorHAnsi"/>
          <w:sz w:val="22"/>
          <w:szCs w:val="22"/>
        </w:rPr>
        <w:t>   </w:t>
      </w:r>
      <w:r w:rsidRPr="0017034C">
        <w:rPr>
          <w:rStyle w:val="eop"/>
          <w:rFonts w:asciiTheme="minorHAnsi" w:eastAsiaTheme="majorEastAsia" w:hAnsiTheme="minorHAnsi" w:cstheme="minorHAnsi"/>
          <w:sz w:val="22"/>
          <w:szCs w:val="22"/>
        </w:rPr>
        <w:t> </w:t>
      </w:r>
    </w:p>
    <w:p w14:paraId="7AFD32CD" w14:textId="77777777" w:rsidR="00A43321" w:rsidRPr="0017034C" w:rsidRDefault="00A43321" w:rsidP="00A43321">
      <w:pPr>
        <w:pStyle w:val="paragraph"/>
        <w:numPr>
          <w:ilvl w:val="0"/>
          <w:numId w:val="14"/>
        </w:numPr>
        <w:spacing w:before="0" w:beforeAutospacing="0" w:after="0" w:afterAutospacing="0"/>
        <w:textAlignment w:val="baseline"/>
        <w:rPr>
          <w:rFonts w:asciiTheme="minorHAnsi" w:hAnsiTheme="minorHAnsi" w:cstheme="minorHAnsi"/>
          <w:sz w:val="22"/>
          <w:szCs w:val="22"/>
        </w:rPr>
      </w:pPr>
      <w:r w:rsidRPr="0017034C">
        <w:rPr>
          <w:rStyle w:val="normaltextrun"/>
          <w:rFonts w:asciiTheme="minorHAnsi" w:eastAsiaTheme="majorEastAsia" w:hAnsiTheme="minorHAnsi" w:cstheme="minorHAnsi"/>
          <w:b/>
          <w:bCs/>
          <w:sz w:val="22"/>
          <w:szCs w:val="22"/>
        </w:rPr>
        <w:t>Mentorship:</w:t>
      </w:r>
      <w:r w:rsidRPr="0017034C">
        <w:rPr>
          <w:rStyle w:val="normaltextrun"/>
          <w:rFonts w:asciiTheme="minorHAnsi" w:eastAsiaTheme="majorEastAsia" w:hAnsiTheme="minorHAnsi" w:cstheme="minorHAnsi"/>
          <w:sz w:val="22"/>
          <w:szCs w:val="22"/>
        </w:rPr>
        <w:t xml:space="preserve"> Pair residents with experienced mentors who can offer guidance on clinical practices, career development, and navigating the healthcare system. Mentorship by peers (senior residents) and staff such as nurses can also help new residents navigate the system.</w:t>
      </w:r>
      <w:r w:rsidRPr="0017034C">
        <w:rPr>
          <w:rStyle w:val="eop"/>
          <w:rFonts w:asciiTheme="minorHAnsi" w:eastAsiaTheme="majorEastAsia" w:hAnsiTheme="minorHAnsi" w:cstheme="minorHAnsi"/>
          <w:sz w:val="22"/>
          <w:szCs w:val="22"/>
        </w:rPr>
        <w:t> </w:t>
      </w:r>
    </w:p>
    <w:p w14:paraId="28676A67" w14:textId="34D877CA" w:rsidR="00A43321" w:rsidRPr="0017034C" w:rsidRDefault="00A43321" w:rsidP="00A43321">
      <w:pPr>
        <w:pStyle w:val="paragraph"/>
        <w:numPr>
          <w:ilvl w:val="0"/>
          <w:numId w:val="14"/>
        </w:numPr>
        <w:spacing w:before="0" w:beforeAutospacing="0" w:after="0" w:afterAutospacing="0"/>
        <w:textAlignment w:val="baseline"/>
        <w:rPr>
          <w:rFonts w:asciiTheme="minorHAnsi" w:hAnsiTheme="minorHAnsi" w:cstheme="minorHAnsi"/>
          <w:sz w:val="22"/>
          <w:szCs w:val="22"/>
        </w:rPr>
      </w:pPr>
      <w:r w:rsidRPr="0017034C">
        <w:rPr>
          <w:rStyle w:val="normaltextrun"/>
          <w:rFonts w:asciiTheme="minorHAnsi" w:eastAsiaTheme="majorEastAsia" w:hAnsiTheme="minorHAnsi" w:cstheme="minorHAnsi"/>
          <w:b/>
          <w:bCs/>
          <w:sz w:val="22"/>
          <w:szCs w:val="22"/>
        </w:rPr>
        <w:t>Cultural Awareness and Competency Training:</w:t>
      </w:r>
      <w:r w:rsidRPr="0017034C">
        <w:rPr>
          <w:rStyle w:val="normaltextrun"/>
          <w:rFonts w:asciiTheme="minorHAnsi" w:eastAsiaTheme="majorEastAsia" w:hAnsiTheme="minorHAnsi" w:cstheme="minorHAnsi"/>
          <w:sz w:val="22"/>
          <w:szCs w:val="22"/>
        </w:rPr>
        <w:t xml:space="preserve"> Offer training sessions to help new physicians understand the diverse patient population they will be serving. The U</w:t>
      </w:r>
      <w:r w:rsidR="00985ED5">
        <w:rPr>
          <w:rStyle w:val="normaltextrun"/>
          <w:rFonts w:asciiTheme="minorHAnsi" w:eastAsiaTheme="majorEastAsia" w:hAnsiTheme="minorHAnsi" w:cstheme="minorHAnsi"/>
          <w:sz w:val="22"/>
          <w:szCs w:val="22"/>
        </w:rPr>
        <w:t>.</w:t>
      </w:r>
      <w:r w:rsidRPr="0017034C">
        <w:rPr>
          <w:rStyle w:val="normaltextrun"/>
          <w:rFonts w:asciiTheme="minorHAnsi" w:eastAsiaTheme="majorEastAsia" w:hAnsiTheme="minorHAnsi" w:cstheme="minorHAnsi"/>
          <w:sz w:val="22"/>
          <w:szCs w:val="22"/>
        </w:rPr>
        <w:t>S</w:t>
      </w:r>
      <w:r w:rsidR="00985ED5">
        <w:rPr>
          <w:rStyle w:val="normaltextrun"/>
          <w:rFonts w:asciiTheme="minorHAnsi" w:eastAsiaTheme="majorEastAsia" w:hAnsiTheme="minorHAnsi" w:cstheme="minorHAnsi"/>
          <w:sz w:val="22"/>
          <w:szCs w:val="22"/>
        </w:rPr>
        <w:t>.</w:t>
      </w:r>
      <w:r w:rsidRPr="0017034C">
        <w:rPr>
          <w:rStyle w:val="normaltextrun"/>
          <w:rFonts w:asciiTheme="minorHAnsi" w:eastAsiaTheme="majorEastAsia" w:hAnsiTheme="minorHAnsi" w:cstheme="minorHAnsi"/>
          <w:sz w:val="22"/>
          <w:szCs w:val="22"/>
        </w:rPr>
        <w:t xml:space="preserve"> Department of Health &amp; Human Services has a free </w:t>
      </w:r>
      <w:r w:rsidR="00A84C41" w:rsidRPr="0017034C">
        <w:rPr>
          <w:rStyle w:val="normaltextrun"/>
          <w:rFonts w:asciiTheme="minorHAnsi" w:eastAsiaTheme="majorEastAsia" w:hAnsiTheme="minorHAnsi" w:cstheme="minorHAnsi"/>
          <w:sz w:val="22"/>
          <w:szCs w:val="22"/>
        </w:rPr>
        <w:t>online-accredited</w:t>
      </w:r>
      <w:r w:rsidRPr="0017034C">
        <w:rPr>
          <w:rStyle w:val="normaltextrun"/>
          <w:rFonts w:asciiTheme="minorHAnsi" w:eastAsiaTheme="majorEastAsia" w:hAnsiTheme="minorHAnsi" w:cstheme="minorHAnsi"/>
          <w:sz w:val="22"/>
          <w:szCs w:val="22"/>
        </w:rPr>
        <w:t xml:space="preserve"> program</w:t>
      </w:r>
      <w:r w:rsidR="00985ED5">
        <w:rPr>
          <w:rStyle w:val="normaltextrun"/>
          <w:rFonts w:asciiTheme="minorHAnsi" w:eastAsiaTheme="majorEastAsia" w:hAnsiTheme="minorHAnsi" w:cstheme="minorHAnsi"/>
          <w:sz w:val="22"/>
          <w:szCs w:val="22"/>
        </w:rPr>
        <w:t xml:space="preserve"> </w:t>
      </w:r>
      <w:r w:rsidR="00985ED5">
        <w:rPr>
          <w:rStyle w:val="normaltextrun"/>
          <w:rFonts w:asciiTheme="minorHAnsi" w:eastAsiaTheme="majorEastAsia" w:hAnsiTheme="minorHAnsi" w:cstheme="minorHAnsi"/>
          <w:sz w:val="22"/>
          <w:szCs w:val="22"/>
        </w:rPr>
        <w:t>(</w:t>
      </w:r>
      <w:hyperlink r:id="rId9" w:history="1">
        <w:r w:rsidR="00985ED5" w:rsidRPr="00985ED5">
          <w:rPr>
            <w:rStyle w:val="Hyperlink"/>
            <w:rFonts w:asciiTheme="minorHAnsi" w:eastAsiaTheme="majorEastAsia" w:hAnsiTheme="minorHAnsi" w:cstheme="minorHAnsi"/>
            <w:sz w:val="22"/>
            <w:szCs w:val="22"/>
          </w:rPr>
          <w:t>https://thinkculturalhealth.hhs.gov/education/physicians</w:t>
        </w:r>
      </w:hyperlink>
      <w:r w:rsidRPr="0017034C">
        <w:rPr>
          <w:rStyle w:val="normaltextrun"/>
          <w:rFonts w:asciiTheme="minorHAnsi" w:eastAsiaTheme="majorEastAsia" w:hAnsiTheme="minorHAnsi" w:cstheme="minorHAnsi"/>
          <w:sz w:val="22"/>
          <w:szCs w:val="22"/>
        </w:rPr>
        <w:t>) which can be completed prior to starting internship.</w:t>
      </w:r>
      <w:r w:rsidRPr="0017034C">
        <w:rPr>
          <w:rStyle w:val="eop"/>
          <w:rFonts w:asciiTheme="minorHAnsi" w:eastAsiaTheme="majorEastAsia" w:hAnsiTheme="minorHAnsi" w:cstheme="minorHAnsi"/>
          <w:sz w:val="22"/>
          <w:szCs w:val="22"/>
        </w:rPr>
        <w:t> </w:t>
      </w:r>
      <w:r w:rsidRPr="0017034C">
        <w:rPr>
          <w:rStyle w:val="normaltextrun"/>
          <w:rFonts w:asciiTheme="minorHAnsi" w:eastAsiaTheme="majorEastAsia" w:hAnsiTheme="minorHAnsi" w:cstheme="minorHAnsi"/>
          <w:sz w:val="22"/>
          <w:szCs w:val="22"/>
        </w:rPr>
        <w:t>In addition, an orientation on the cultural and communication needs of the patient population served by the program would be helpful.</w:t>
      </w:r>
    </w:p>
    <w:p w14:paraId="58764A0B" w14:textId="77777777" w:rsidR="00A43321" w:rsidRPr="00A43321" w:rsidRDefault="00A43321" w:rsidP="00A43321">
      <w:pPr>
        <w:rPr>
          <w:rStyle w:val="eop"/>
          <w:rFonts w:ascii="Calibri" w:hAnsi="Calibri" w:cs="Calibri"/>
          <w:shd w:val="clear" w:color="auto" w:fill="FFFFFF"/>
        </w:rPr>
      </w:pPr>
    </w:p>
    <w:p w14:paraId="755BF145" w14:textId="77777777" w:rsidR="00A43321" w:rsidRPr="00A43321" w:rsidRDefault="00A43321" w:rsidP="00A43321">
      <w:pPr>
        <w:rPr>
          <w:rFonts w:ascii="Cambria" w:hAnsi="Cambria" w:cs="Calibri"/>
          <w:i/>
          <w:iCs/>
          <w:color w:val="2F5496" w:themeColor="accent1" w:themeShade="BF"/>
          <w:sz w:val="24"/>
          <w:szCs w:val="24"/>
        </w:rPr>
      </w:pPr>
      <w:r w:rsidRPr="00A43321">
        <w:rPr>
          <w:rFonts w:ascii="Cambria" w:hAnsi="Cambria" w:cs="Calibri"/>
          <w:i/>
          <w:iCs/>
          <w:color w:val="2F5496" w:themeColor="accent1" w:themeShade="BF"/>
          <w:sz w:val="24"/>
          <w:szCs w:val="24"/>
        </w:rPr>
        <w:t>Social Integration</w:t>
      </w:r>
    </w:p>
    <w:p w14:paraId="3BB3B1E8" w14:textId="58EC6180" w:rsidR="00A43321" w:rsidRPr="00A43321" w:rsidRDefault="00A43321" w:rsidP="00A43321">
      <w:pPr>
        <w:pStyle w:val="paragraph"/>
        <w:spacing w:before="0" w:beforeAutospacing="0" w:after="0" w:afterAutospacing="0"/>
        <w:textAlignment w:val="baseline"/>
        <w:rPr>
          <w:rFonts w:asciiTheme="minorHAnsi" w:hAnsiTheme="minorHAnsi" w:cstheme="minorHAnsi"/>
          <w:sz w:val="22"/>
          <w:szCs w:val="22"/>
        </w:rPr>
      </w:pPr>
      <w:r w:rsidRPr="00A43321">
        <w:rPr>
          <w:rStyle w:val="normaltextrun"/>
          <w:rFonts w:asciiTheme="minorHAnsi" w:eastAsiaTheme="majorEastAsia" w:hAnsiTheme="minorHAnsi" w:cstheme="minorHAnsi"/>
          <w:sz w:val="22"/>
          <w:szCs w:val="22"/>
        </w:rPr>
        <w:lastRenderedPageBreak/>
        <w:t>Social norms vary across different cultures and societies, and even across different U</w:t>
      </w:r>
      <w:r w:rsidR="00985ED5">
        <w:rPr>
          <w:rStyle w:val="normaltextrun"/>
          <w:rFonts w:asciiTheme="minorHAnsi" w:eastAsiaTheme="majorEastAsia" w:hAnsiTheme="minorHAnsi" w:cstheme="minorHAnsi"/>
          <w:sz w:val="22"/>
          <w:szCs w:val="22"/>
        </w:rPr>
        <w:t>.</w:t>
      </w:r>
      <w:r w:rsidRPr="00A43321">
        <w:rPr>
          <w:rStyle w:val="normaltextrun"/>
          <w:rFonts w:asciiTheme="minorHAnsi" w:eastAsiaTheme="majorEastAsia" w:hAnsiTheme="minorHAnsi" w:cstheme="minorHAnsi"/>
          <w:sz w:val="22"/>
          <w:szCs w:val="22"/>
        </w:rPr>
        <w:t>S</w:t>
      </w:r>
      <w:r w:rsidR="00985ED5">
        <w:rPr>
          <w:rStyle w:val="normaltextrun"/>
          <w:rFonts w:asciiTheme="minorHAnsi" w:eastAsiaTheme="majorEastAsia" w:hAnsiTheme="minorHAnsi" w:cstheme="minorHAnsi"/>
          <w:sz w:val="22"/>
          <w:szCs w:val="22"/>
        </w:rPr>
        <w:t>.</w:t>
      </w:r>
      <w:r w:rsidRPr="00A43321">
        <w:rPr>
          <w:rStyle w:val="normaltextrun"/>
          <w:rFonts w:asciiTheme="minorHAnsi" w:eastAsiaTheme="majorEastAsia" w:hAnsiTheme="minorHAnsi" w:cstheme="minorHAnsi"/>
          <w:sz w:val="22"/>
          <w:szCs w:val="22"/>
        </w:rPr>
        <w:t xml:space="preserve"> states. For a new resident, knowing the prevailing social norms and etiquette helps facilitate smooth interactions, build </w:t>
      </w:r>
      <w:r w:rsidR="00241AB8" w:rsidRPr="00A43321">
        <w:rPr>
          <w:rStyle w:val="normaltextrun"/>
          <w:rFonts w:asciiTheme="minorHAnsi" w:eastAsiaTheme="majorEastAsia" w:hAnsiTheme="minorHAnsi" w:cstheme="minorHAnsi"/>
          <w:sz w:val="22"/>
          <w:szCs w:val="22"/>
        </w:rPr>
        <w:t>respect,</w:t>
      </w:r>
      <w:r w:rsidRPr="00A43321">
        <w:rPr>
          <w:rStyle w:val="normaltextrun"/>
          <w:rFonts w:asciiTheme="minorHAnsi" w:eastAsiaTheme="majorEastAsia" w:hAnsiTheme="minorHAnsi" w:cstheme="minorHAnsi"/>
          <w:sz w:val="22"/>
          <w:szCs w:val="22"/>
        </w:rPr>
        <w:t xml:space="preserve"> and trust, and prevent misunderstandings in social and professional settings. </w:t>
      </w:r>
      <w:r w:rsidRPr="00A43321">
        <w:rPr>
          <w:rStyle w:val="eop"/>
          <w:rFonts w:asciiTheme="minorHAnsi" w:eastAsiaTheme="majorEastAsia" w:hAnsiTheme="minorHAnsi" w:cstheme="minorHAnsi"/>
          <w:sz w:val="22"/>
          <w:szCs w:val="22"/>
        </w:rPr>
        <w:t> </w:t>
      </w:r>
    </w:p>
    <w:p w14:paraId="77BCEBB7" w14:textId="77777777" w:rsidR="00A43321" w:rsidRPr="00A43321" w:rsidRDefault="00A43321" w:rsidP="00A43321">
      <w:pPr>
        <w:pStyle w:val="paragraph"/>
        <w:spacing w:before="0" w:beforeAutospacing="0" w:after="0" w:afterAutospacing="0"/>
        <w:textAlignment w:val="baseline"/>
        <w:rPr>
          <w:rFonts w:asciiTheme="minorHAnsi" w:hAnsiTheme="minorHAnsi" w:cstheme="minorHAnsi"/>
          <w:sz w:val="18"/>
          <w:szCs w:val="18"/>
        </w:rPr>
      </w:pPr>
      <w:r w:rsidRPr="00A43321">
        <w:rPr>
          <w:rStyle w:val="normaltextrun"/>
          <w:rFonts w:asciiTheme="minorHAnsi" w:eastAsiaTheme="majorEastAsia" w:hAnsiTheme="minorHAnsi" w:cstheme="minorHAnsi"/>
          <w:sz w:val="22"/>
          <w:szCs w:val="22"/>
        </w:rPr>
        <w:t>Endeavors that may help residents with social integration include:</w:t>
      </w:r>
      <w:r w:rsidRPr="00A43321">
        <w:rPr>
          <w:rStyle w:val="eop"/>
          <w:rFonts w:asciiTheme="minorHAnsi" w:eastAsiaTheme="majorEastAsia" w:hAnsiTheme="minorHAnsi" w:cstheme="minorHAnsi"/>
          <w:sz w:val="22"/>
          <w:szCs w:val="22"/>
        </w:rPr>
        <w:t> </w:t>
      </w:r>
    </w:p>
    <w:p w14:paraId="0801C7BD" w14:textId="4945AED0" w:rsidR="00A43321" w:rsidRDefault="00A43321" w:rsidP="00A43321">
      <w:pPr>
        <w:pStyle w:val="paragraph"/>
        <w:numPr>
          <w:ilvl w:val="0"/>
          <w:numId w:val="19"/>
        </w:numPr>
        <w:spacing w:before="0" w:beforeAutospacing="0" w:after="0" w:afterAutospacing="0"/>
        <w:textAlignment w:val="baseline"/>
        <w:rPr>
          <w:rFonts w:asciiTheme="minorHAnsi" w:hAnsiTheme="minorHAnsi" w:cstheme="minorHAnsi"/>
          <w:sz w:val="22"/>
          <w:szCs w:val="22"/>
        </w:rPr>
      </w:pPr>
      <w:r w:rsidRPr="0017034C">
        <w:rPr>
          <w:rStyle w:val="normaltextrun"/>
          <w:rFonts w:asciiTheme="minorHAnsi" w:eastAsiaTheme="majorEastAsia" w:hAnsiTheme="minorHAnsi" w:cstheme="minorHAnsi"/>
          <w:b/>
          <w:bCs/>
          <w:sz w:val="22"/>
          <w:szCs w:val="22"/>
        </w:rPr>
        <w:t>Cultural Exchange Programs and Social Events:</w:t>
      </w:r>
      <w:r w:rsidRPr="00A43321">
        <w:rPr>
          <w:rStyle w:val="normaltextrun"/>
          <w:rFonts w:asciiTheme="minorHAnsi" w:eastAsiaTheme="majorEastAsia" w:hAnsiTheme="minorHAnsi" w:cstheme="minorHAnsi"/>
          <w:sz w:val="22"/>
          <w:szCs w:val="22"/>
        </w:rPr>
        <w:t xml:space="preserve"> Organize cultural exchange events where residents can share their own culture and learn about American culture from colleagues. In many programs, social gatherings and potlucks commemorate important cultural events (e.g. Thanksgiving, Christmas, Hispanic Heritage Month, etc.). Welcome parties are arranged for interns, </w:t>
      </w:r>
      <w:r w:rsidR="00241AB8" w:rsidRPr="00A43321">
        <w:rPr>
          <w:rStyle w:val="normaltextrun"/>
          <w:rFonts w:asciiTheme="minorHAnsi" w:eastAsiaTheme="majorEastAsia" w:hAnsiTheme="minorHAnsi" w:cstheme="minorHAnsi"/>
          <w:sz w:val="22"/>
          <w:szCs w:val="22"/>
        </w:rPr>
        <w:t>residents,</w:t>
      </w:r>
      <w:r w:rsidRPr="00A43321">
        <w:rPr>
          <w:rStyle w:val="normaltextrun"/>
          <w:rFonts w:asciiTheme="minorHAnsi" w:eastAsiaTheme="majorEastAsia" w:hAnsiTheme="minorHAnsi" w:cstheme="minorHAnsi"/>
          <w:sz w:val="22"/>
          <w:szCs w:val="22"/>
        </w:rPr>
        <w:t xml:space="preserve"> and faculty (e.g. beach party, bowling party or miniature golf) to get to know everyone in a safe and fun environment.</w:t>
      </w:r>
      <w:r w:rsidRPr="00A43321">
        <w:rPr>
          <w:rStyle w:val="eop"/>
          <w:rFonts w:asciiTheme="minorHAnsi" w:eastAsiaTheme="majorEastAsia" w:hAnsiTheme="minorHAnsi" w:cstheme="minorHAnsi"/>
          <w:sz w:val="22"/>
          <w:szCs w:val="22"/>
        </w:rPr>
        <w:t> </w:t>
      </w:r>
    </w:p>
    <w:p w14:paraId="373CDCE0" w14:textId="77777777" w:rsidR="00A43321" w:rsidRDefault="00A43321" w:rsidP="00A43321">
      <w:pPr>
        <w:pStyle w:val="paragraph"/>
        <w:numPr>
          <w:ilvl w:val="0"/>
          <w:numId w:val="19"/>
        </w:numPr>
        <w:spacing w:before="0" w:beforeAutospacing="0" w:after="0" w:afterAutospacing="0"/>
        <w:textAlignment w:val="baseline"/>
        <w:rPr>
          <w:rFonts w:asciiTheme="minorHAnsi" w:hAnsiTheme="minorHAnsi" w:cstheme="minorHAnsi"/>
          <w:sz w:val="22"/>
          <w:szCs w:val="22"/>
        </w:rPr>
      </w:pPr>
      <w:r w:rsidRPr="0017034C">
        <w:rPr>
          <w:rStyle w:val="normaltextrun"/>
          <w:rFonts w:asciiTheme="minorHAnsi" w:eastAsiaTheme="majorEastAsia" w:hAnsiTheme="minorHAnsi" w:cstheme="minorHAnsi"/>
          <w:b/>
          <w:bCs/>
          <w:sz w:val="22"/>
          <w:szCs w:val="22"/>
        </w:rPr>
        <w:t>Community Involvement:</w:t>
      </w:r>
      <w:r w:rsidRPr="00A43321">
        <w:rPr>
          <w:rStyle w:val="normaltextrun"/>
          <w:rFonts w:asciiTheme="minorHAnsi" w:eastAsiaTheme="majorEastAsia" w:hAnsiTheme="minorHAnsi" w:cstheme="minorHAnsi"/>
          <w:sz w:val="22"/>
          <w:szCs w:val="22"/>
        </w:rPr>
        <w:t xml:space="preserve"> Encourage participation in community events, volunteer opportunities, and local clubs to help new physicians feel connected to the community.</w:t>
      </w:r>
      <w:r w:rsidRPr="00A43321">
        <w:rPr>
          <w:rStyle w:val="eop"/>
          <w:rFonts w:asciiTheme="minorHAnsi" w:eastAsiaTheme="majorEastAsia" w:hAnsiTheme="minorHAnsi" w:cstheme="minorHAnsi"/>
          <w:sz w:val="22"/>
          <w:szCs w:val="22"/>
        </w:rPr>
        <w:t> </w:t>
      </w:r>
    </w:p>
    <w:p w14:paraId="0482D162" w14:textId="048E36BE" w:rsidR="00A43321" w:rsidRDefault="00A43321" w:rsidP="00A43321">
      <w:pPr>
        <w:pStyle w:val="paragraph"/>
        <w:numPr>
          <w:ilvl w:val="0"/>
          <w:numId w:val="19"/>
        </w:numPr>
        <w:spacing w:before="0" w:beforeAutospacing="0" w:after="0" w:afterAutospacing="0"/>
        <w:textAlignment w:val="baseline"/>
        <w:rPr>
          <w:rFonts w:asciiTheme="minorHAnsi" w:hAnsiTheme="minorHAnsi" w:cstheme="minorHAnsi"/>
          <w:sz w:val="22"/>
          <w:szCs w:val="22"/>
        </w:rPr>
      </w:pPr>
      <w:r w:rsidRPr="0017034C">
        <w:rPr>
          <w:rStyle w:val="normaltextrun"/>
          <w:rFonts w:asciiTheme="minorHAnsi" w:eastAsiaTheme="majorEastAsia" w:hAnsiTheme="minorHAnsi" w:cstheme="minorHAnsi"/>
          <w:b/>
          <w:bCs/>
          <w:sz w:val="22"/>
          <w:szCs w:val="22"/>
        </w:rPr>
        <w:t>Resource Guides:</w:t>
      </w:r>
      <w:r w:rsidRPr="00A43321">
        <w:rPr>
          <w:rStyle w:val="normaltextrun"/>
          <w:rFonts w:asciiTheme="minorHAnsi" w:eastAsiaTheme="majorEastAsia" w:hAnsiTheme="minorHAnsi" w:cstheme="minorHAnsi"/>
          <w:sz w:val="22"/>
          <w:szCs w:val="22"/>
        </w:rPr>
        <w:t xml:space="preserve"> Navigating everyday life, such as finding housing, banks, childcare and schools, understanding public transportation, discovering local amenities</w:t>
      </w:r>
      <w:r w:rsidR="00985ED5">
        <w:rPr>
          <w:rStyle w:val="normaltextrun"/>
          <w:rFonts w:asciiTheme="minorHAnsi" w:eastAsiaTheme="majorEastAsia" w:hAnsiTheme="minorHAnsi" w:cstheme="minorHAnsi"/>
          <w:sz w:val="22"/>
          <w:szCs w:val="22"/>
        </w:rPr>
        <w:t>, etc.</w:t>
      </w:r>
      <w:r w:rsidRPr="00A43321">
        <w:rPr>
          <w:rStyle w:val="normaltextrun"/>
          <w:rFonts w:asciiTheme="minorHAnsi" w:eastAsiaTheme="majorEastAsia" w:hAnsiTheme="minorHAnsi" w:cstheme="minorHAnsi"/>
          <w:sz w:val="22"/>
          <w:szCs w:val="22"/>
        </w:rPr>
        <w:t xml:space="preserve"> can be overwhelming. </w:t>
      </w:r>
      <w:r w:rsidR="00A37660">
        <w:rPr>
          <w:rStyle w:val="normaltextrun"/>
          <w:rFonts w:asciiTheme="minorHAnsi" w:eastAsiaTheme="majorEastAsia" w:hAnsiTheme="minorHAnsi" w:cstheme="minorHAnsi"/>
          <w:sz w:val="22"/>
          <w:szCs w:val="22"/>
        </w:rPr>
        <w:t>Sharing a</w:t>
      </w:r>
      <w:r w:rsidRPr="00A43321">
        <w:rPr>
          <w:rStyle w:val="normaltextrun"/>
          <w:rFonts w:asciiTheme="minorHAnsi" w:eastAsiaTheme="majorEastAsia" w:hAnsiTheme="minorHAnsi" w:cstheme="minorHAnsi"/>
          <w:sz w:val="22"/>
          <w:szCs w:val="22"/>
        </w:rPr>
        <w:t xml:space="preserve"> list soon after </w:t>
      </w:r>
      <w:r w:rsidR="00A37660">
        <w:rPr>
          <w:rStyle w:val="normaltextrun"/>
          <w:rFonts w:asciiTheme="minorHAnsi" w:eastAsiaTheme="majorEastAsia" w:hAnsiTheme="minorHAnsi" w:cstheme="minorHAnsi"/>
          <w:sz w:val="22"/>
          <w:szCs w:val="22"/>
        </w:rPr>
        <w:t xml:space="preserve">the </w:t>
      </w:r>
      <w:r w:rsidRPr="00A43321">
        <w:rPr>
          <w:rStyle w:val="normaltextrun"/>
          <w:rFonts w:asciiTheme="minorHAnsi" w:eastAsiaTheme="majorEastAsia" w:hAnsiTheme="minorHAnsi" w:cstheme="minorHAnsi"/>
          <w:sz w:val="22"/>
          <w:szCs w:val="22"/>
        </w:rPr>
        <w:t xml:space="preserve">match </w:t>
      </w:r>
      <w:r w:rsidR="00A37660">
        <w:rPr>
          <w:rStyle w:val="normaltextrun"/>
          <w:rFonts w:asciiTheme="minorHAnsi" w:eastAsiaTheme="majorEastAsia" w:hAnsiTheme="minorHAnsi" w:cstheme="minorHAnsi"/>
          <w:sz w:val="22"/>
          <w:szCs w:val="22"/>
        </w:rPr>
        <w:t>and</w:t>
      </w:r>
      <w:r w:rsidRPr="00A43321">
        <w:rPr>
          <w:rStyle w:val="normaltextrun"/>
          <w:rFonts w:asciiTheme="minorHAnsi" w:eastAsiaTheme="majorEastAsia" w:hAnsiTheme="minorHAnsi" w:cstheme="minorHAnsi"/>
          <w:sz w:val="22"/>
          <w:szCs w:val="22"/>
        </w:rPr>
        <w:t xml:space="preserve"> implementing a ‘buddy</w:t>
      </w:r>
      <w:r w:rsidR="00785D4A">
        <w:rPr>
          <w:rStyle w:val="normaltextrun"/>
          <w:rFonts w:asciiTheme="minorHAnsi" w:eastAsiaTheme="majorEastAsia" w:hAnsiTheme="minorHAnsi" w:cstheme="minorHAnsi"/>
          <w:sz w:val="22"/>
          <w:szCs w:val="22"/>
        </w:rPr>
        <w:t xml:space="preserve"> system</w:t>
      </w:r>
      <w:r w:rsidRPr="00A43321">
        <w:rPr>
          <w:rStyle w:val="normaltextrun"/>
          <w:rFonts w:asciiTheme="minorHAnsi" w:eastAsiaTheme="majorEastAsia" w:hAnsiTheme="minorHAnsi" w:cstheme="minorHAnsi"/>
          <w:sz w:val="22"/>
          <w:szCs w:val="22"/>
        </w:rPr>
        <w:t xml:space="preserve">’ where new residents are paired with a peer may help </w:t>
      </w:r>
      <w:r w:rsidR="00A37660">
        <w:rPr>
          <w:rStyle w:val="normaltextrun"/>
          <w:rFonts w:asciiTheme="minorHAnsi" w:eastAsiaTheme="majorEastAsia" w:hAnsiTheme="minorHAnsi" w:cstheme="minorHAnsi"/>
          <w:sz w:val="22"/>
          <w:szCs w:val="22"/>
        </w:rPr>
        <w:t>incoming IMG residents</w:t>
      </w:r>
      <w:r w:rsidRPr="00A43321">
        <w:rPr>
          <w:rStyle w:val="normaltextrun"/>
          <w:rFonts w:asciiTheme="minorHAnsi" w:eastAsiaTheme="majorEastAsia" w:hAnsiTheme="minorHAnsi" w:cstheme="minorHAnsi"/>
          <w:sz w:val="22"/>
          <w:szCs w:val="22"/>
        </w:rPr>
        <w:t xml:space="preserve">. </w:t>
      </w:r>
      <w:r w:rsidRPr="00A43321">
        <w:rPr>
          <w:rStyle w:val="eop"/>
          <w:rFonts w:asciiTheme="minorHAnsi" w:eastAsiaTheme="majorEastAsia" w:hAnsiTheme="minorHAnsi" w:cstheme="minorHAnsi"/>
          <w:sz w:val="22"/>
          <w:szCs w:val="22"/>
        </w:rPr>
        <w:t> </w:t>
      </w:r>
    </w:p>
    <w:p w14:paraId="511D4ABD" w14:textId="074E7877" w:rsidR="00A43321" w:rsidRPr="00A43321" w:rsidRDefault="00A43321" w:rsidP="00A43321">
      <w:pPr>
        <w:pStyle w:val="paragraph"/>
        <w:numPr>
          <w:ilvl w:val="0"/>
          <w:numId w:val="19"/>
        </w:numPr>
        <w:spacing w:before="0" w:beforeAutospacing="0" w:after="0" w:afterAutospacing="0"/>
        <w:textAlignment w:val="baseline"/>
        <w:rPr>
          <w:rFonts w:asciiTheme="minorHAnsi" w:hAnsiTheme="minorHAnsi" w:cstheme="minorHAnsi"/>
          <w:sz w:val="22"/>
          <w:szCs w:val="22"/>
        </w:rPr>
      </w:pPr>
      <w:r w:rsidRPr="0017034C">
        <w:rPr>
          <w:rStyle w:val="normaltextrun"/>
          <w:rFonts w:asciiTheme="minorHAnsi" w:eastAsiaTheme="majorEastAsia" w:hAnsiTheme="minorHAnsi" w:cstheme="minorHAnsi"/>
          <w:b/>
          <w:bCs/>
          <w:sz w:val="22"/>
          <w:szCs w:val="22"/>
        </w:rPr>
        <w:t xml:space="preserve">Language and Communication </w:t>
      </w:r>
      <w:r w:rsidR="00985ED5">
        <w:rPr>
          <w:rStyle w:val="normaltextrun"/>
          <w:rFonts w:asciiTheme="minorHAnsi" w:eastAsiaTheme="majorEastAsia" w:hAnsiTheme="minorHAnsi" w:cstheme="minorHAnsi"/>
          <w:b/>
          <w:bCs/>
          <w:sz w:val="22"/>
          <w:szCs w:val="22"/>
        </w:rPr>
        <w:t>S</w:t>
      </w:r>
      <w:r w:rsidRPr="0017034C">
        <w:rPr>
          <w:rStyle w:val="normaltextrun"/>
          <w:rFonts w:asciiTheme="minorHAnsi" w:eastAsiaTheme="majorEastAsia" w:hAnsiTheme="minorHAnsi" w:cstheme="minorHAnsi"/>
          <w:b/>
          <w:bCs/>
          <w:sz w:val="22"/>
          <w:szCs w:val="22"/>
        </w:rPr>
        <w:t>upport:</w:t>
      </w:r>
      <w:r w:rsidRPr="00A43321">
        <w:rPr>
          <w:rStyle w:val="normaltextrun"/>
          <w:rFonts w:asciiTheme="minorHAnsi" w:eastAsiaTheme="majorEastAsia" w:hAnsiTheme="minorHAnsi" w:cstheme="minorHAnsi"/>
          <w:sz w:val="22"/>
          <w:szCs w:val="22"/>
        </w:rPr>
        <w:t xml:space="preserve"> Provide language support services, such as English classes or conversation groups to help non-native speakers improve their language skills.</w:t>
      </w:r>
    </w:p>
    <w:p w14:paraId="1E26C22E" w14:textId="77777777" w:rsidR="00A43321" w:rsidRPr="00A43321" w:rsidRDefault="00A43321" w:rsidP="007C2604">
      <w:pPr>
        <w:spacing w:after="0"/>
        <w:rPr>
          <w:rFonts w:cstheme="minorHAnsi"/>
          <w:color w:val="0070C0"/>
          <w:sz w:val="28"/>
          <w:szCs w:val="28"/>
        </w:rPr>
      </w:pPr>
    </w:p>
    <w:p w14:paraId="3F66579F" w14:textId="77777777" w:rsidR="007C1A9B" w:rsidRPr="007C1A9B" w:rsidRDefault="007C1A9B" w:rsidP="007C1A9B">
      <w:pPr>
        <w:spacing w:after="0"/>
        <w:rPr>
          <w:rFonts w:ascii="Cambria" w:hAnsi="Cambria"/>
          <w:color w:val="0070C0"/>
          <w:sz w:val="28"/>
          <w:szCs w:val="28"/>
        </w:rPr>
      </w:pPr>
      <w:r w:rsidRPr="007C1A9B">
        <w:rPr>
          <w:rFonts w:ascii="Cambria" w:hAnsi="Cambria"/>
          <w:color w:val="0070C0"/>
          <w:sz w:val="28"/>
          <w:szCs w:val="28"/>
        </w:rPr>
        <w:t>Re</w:t>
      </w:r>
      <w:r w:rsidR="009723DF">
        <w:rPr>
          <w:rFonts w:ascii="Cambria" w:hAnsi="Cambria"/>
          <w:color w:val="0070C0"/>
          <w:sz w:val="28"/>
          <w:szCs w:val="28"/>
        </w:rPr>
        <w:t>sources</w:t>
      </w:r>
    </w:p>
    <w:p w14:paraId="5435DD9B" w14:textId="405E7F26" w:rsidR="004D7F28" w:rsidRDefault="004D7F28" w:rsidP="004D7F28">
      <w:pPr>
        <w:pStyle w:val="ListParagraph"/>
        <w:numPr>
          <w:ilvl w:val="0"/>
          <w:numId w:val="20"/>
        </w:numPr>
        <w:spacing w:after="0"/>
        <w:rPr>
          <w:rFonts w:cstheme="minorHAnsi"/>
        </w:rPr>
      </w:pPr>
      <w:hyperlink r:id="rId10" w:history="1">
        <w:r w:rsidRPr="004D7F28">
          <w:rPr>
            <w:rStyle w:val="Hyperlink"/>
            <w:rFonts w:cstheme="minorHAnsi"/>
          </w:rPr>
          <w:t>E</w:t>
        </w:r>
        <w:r w:rsidR="00965BBA">
          <w:rPr>
            <w:rStyle w:val="Hyperlink"/>
            <w:rFonts w:cstheme="minorHAnsi"/>
          </w:rPr>
          <w:t>ducational Commission for Foreign Medical Graduates (E</w:t>
        </w:r>
        <w:r w:rsidRPr="004D7F28">
          <w:rPr>
            <w:rStyle w:val="Hyperlink"/>
            <w:rFonts w:cstheme="minorHAnsi"/>
          </w:rPr>
          <w:t>CFM</w:t>
        </w:r>
        <w:r w:rsidR="00965BBA">
          <w:rPr>
            <w:rStyle w:val="Hyperlink"/>
            <w:rFonts w:cstheme="minorHAnsi"/>
          </w:rPr>
          <w:t>G)</w:t>
        </w:r>
      </w:hyperlink>
    </w:p>
    <w:p w14:paraId="1C4F276A" w14:textId="683C282A" w:rsidR="00A570D2" w:rsidRDefault="00A570D2" w:rsidP="00A570D2">
      <w:pPr>
        <w:pStyle w:val="ListParagraph"/>
        <w:numPr>
          <w:ilvl w:val="0"/>
          <w:numId w:val="20"/>
        </w:numPr>
        <w:spacing w:after="0"/>
        <w:rPr>
          <w:rFonts w:cstheme="minorHAnsi"/>
        </w:rPr>
      </w:pPr>
      <w:hyperlink r:id="rId11" w:history="1">
        <w:r w:rsidRPr="00A570D2">
          <w:rPr>
            <w:rStyle w:val="Hyperlink"/>
            <w:rFonts w:cstheme="minorHAnsi"/>
          </w:rPr>
          <w:t>Exchange Visitors (J-1 Visa)</w:t>
        </w:r>
      </w:hyperlink>
    </w:p>
    <w:p w14:paraId="66AFEB6B" w14:textId="442AA609" w:rsidR="00A570D2" w:rsidRPr="004D7F28" w:rsidRDefault="00A570D2" w:rsidP="00A570D2">
      <w:pPr>
        <w:pStyle w:val="ListParagraph"/>
        <w:numPr>
          <w:ilvl w:val="0"/>
          <w:numId w:val="20"/>
        </w:numPr>
        <w:spacing w:after="0"/>
        <w:rPr>
          <w:rFonts w:cstheme="minorHAnsi"/>
        </w:rPr>
      </w:pPr>
      <w:hyperlink r:id="rId12" w:history="1">
        <w:r w:rsidRPr="00A570D2">
          <w:rPr>
            <w:rStyle w:val="Hyperlink"/>
            <w:rFonts w:cstheme="minorHAnsi"/>
          </w:rPr>
          <w:t>H-1B Visa</w:t>
        </w:r>
      </w:hyperlink>
    </w:p>
    <w:p w14:paraId="69A994AD" w14:textId="68B8CB1D" w:rsidR="00965BBA" w:rsidRPr="00241AB8" w:rsidRDefault="00965BBA" w:rsidP="004D7F28">
      <w:pPr>
        <w:pStyle w:val="ListParagraph"/>
        <w:numPr>
          <w:ilvl w:val="0"/>
          <w:numId w:val="20"/>
        </w:numPr>
        <w:spacing w:after="0"/>
        <w:rPr>
          <w:rStyle w:val="Hyperlink"/>
          <w:rFonts w:cstheme="minorHAnsi"/>
          <w:color w:val="auto"/>
          <w:u w:val="none"/>
        </w:rPr>
      </w:pPr>
      <w:hyperlink r:id="rId13" w:history="1">
        <w:r w:rsidRPr="00965BBA">
          <w:rPr>
            <w:rStyle w:val="Hyperlink"/>
          </w:rPr>
          <w:t>A Physician’s Practical Guide to Culturally Competent Care</w:t>
        </w:r>
      </w:hyperlink>
    </w:p>
    <w:p w14:paraId="634E8851" w14:textId="44BFD134" w:rsidR="00241AB8" w:rsidRPr="00965BBA" w:rsidRDefault="00241AB8" w:rsidP="004D7F28">
      <w:pPr>
        <w:pStyle w:val="ListParagraph"/>
        <w:numPr>
          <w:ilvl w:val="0"/>
          <w:numId w:val="20"/>
        </w:numPr>
        <w:spacing w:after="0"/>
        <w:rPr>
          <w:rFonts w:cstheme="minorHAnsi"/>
        </w:rPr>
      </w:pPr>
      <w:hyperlink r:id="rId14" w:anchor="program" w:history="1">
        <w:r w:rsidRPr="00241AB8">
          <w:rPr>
            <w:rStyle w:val="Hyperlink"/>
            <w:rFonts w:cstheme="minorHAnsi"/>
          </w:rPr>
          <w:t>https://www.aamc.org/services/member-capacity-building/holistic-review#program</w:t>
        </w:r>
      </w:hyperlink>
    </w:p>
    <w:sectPr w:rsidR="00241AB8" w:rsidRPr="00965B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14140"/>
    <w:multiLevelType w:val="hybridMultilevel"/>
    <w:tmpl w:val="F348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62AE9"/>
    <w:multiLevelType w:val="multilevel"/>
    <w:tmpl w:val="C974E8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475996"/>
    <w:multiLevelType w:val="multilevel"/>
    <w:tmpl w:val="387663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FF2CC5"/>
    <w:multiLevelType w:val="hybridMultilevel"/>
    <w:tmpl w:val="5F16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760C1"/>
    <w:multiLevelType w:val="hybridMultilevel"/>
    <w:tmpl w:val="389E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4727F"/>
    <w:multiLevelType w:val="multilevel"/>
    <w:tmpl w:val="9900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8C750A"/>
    <w:multiLevelType w:val="hybridMultilevel"/>
    <w:tmpl w:val="3140CAF0"/>
    <w:lvl w:ilvl="0" w:tplc="C0EE0B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586E9D"/>
    <w:multiLevelType w:val="hybridMultilevel"/>
    <w:tmpl w:val="94283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231C4"/>
    <w:multiLevelType w:val="hybridMultilevel"/>
    <w:tmpl w:val="E508F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E311D"/>
    <w:multiLevelType w:val="hybridMultilevel"/>
    <w:tmpl w:val="5DDC1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8F4A64"/>
    <w:multiLevelType w:val="hybridMultilevel"/>
    <w:tmpl w:val="96303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553279"/>
    <w:multiLevelType w:val="multilevel"/>
    <w:tmpl w:val="16EA8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6410D4"/>
    <w:multiLevelType w:val="multilevel"/>
    <w:tmpl w:val="73781F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5F2094"/>
    <w:multiLevelType w:val="hybridMultilevel"/>
    <w:tmpl w:val="E766E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D94835"/>
    <w:multiLevelType w:val="hybridMultilevel"/>
    <w:tmpl w:val="A4E44F3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B255A4"/>
    <w:multiLevelType w:val="hybridMultilevel"/>
    <w:tmpl w:val="CD3A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726B5D"/>
    <w:multiLevelType w:val="multilevel"/>
    <w:tmpl w:val="411E7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604AE8"/>
    <w:multiLevelType w:val="multilevel"/>
    <w:tmpl w:val="DCC4D8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B16BD3"/>
    <w:multiLevelType w:val="multilevel"/>
    <w:tmpl w:val="869211D0"/>
    <w:lvl w:ilvl="0">
      <w:start w:val="1"/>
      <w:numFmt w:val="bullet"/>
      <w:lvlText w:val=""/>
      <w:lvlJc w:val="left"/>
      <w:pPr>
        <w:tabs>
          <w:tab w:val="num" w:pos="3600"/>
        </w:tabs>
        <w:ind w:left="3600" w:hanging="360"/>
      </w:pPr>
      <w:rPr>
        <w:rFonts w:ascii="Symbol" w:hAnsi="Symbol" w:hint="default"/>
        <w:sz w:val="20"/>
      </w:rPr>
    </w:lvl>
    <w:lvl w:ilvl="1">
      <w:start w:val="1"/>
      <w:numFmt w:val="decimal"/>
      <w:lvlText w:val="%2."/>
      <w:lvlJc w:val="left"/>
      <w:pPr>
        <w:ind w:left="4320" w:hanging="360"/>
      </w:pPr>
      <w:rPr>
        <w:rFonts w:hint="default"/>
      </w:rPr>
    </w:lvl>
    <w:lvl w:ilvl="2">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19" w15:restartNumberingAfterBreak="0">
    <w:nsid w:val="74483AD9"/>
    <w:multiLevelType w:val="multilevel"/>
    <w:tmpl w:val="AD6202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4509204">
    <w:abstractNumId w:val="14"/>
  </w:num>
  <w:num w:numId="2" w16cid:durableId="887834312">
    <w:abstractNumId w:val="6"/>
  </w:num>
  <w:num w:numId="3" w16cid:durableId="785387370">
    <w:abstractNumId w:val="18"/>
  </w:num>
  <w:num w:numId="4" w16cid:durableId="871115308">
    <w:abstractNumId w:val="8"/>
  </w:num>
  <w:num w:numId="5" w16cid:durableId="665941957">
    <w:abstractNumId w:val="5"/>
  </w:num>
  <w:num w:numId="6" w16cid:durableId="728193814">
    <w:abstractNumId w:val="7"/>
  </w:num>
  <w:num w:numId="7" w16cid:durableId="213930119">
    <w:abstractNumId w:val="10"/>
  </w:num>
  <w:num w:numId="8" w16cid:durableId="1144275183">
    <w:abstractNumId w:val="13"/>
  </w:num>
  <w:num w:numId="9" w16cid:durableId="981614769">
    <w:abstractNumId w:val="15"/>
  </w:num>
  <w:num w:numId="10" w16cid:durableId="1731462671">
    <w:abstractNumId w:val="3"/>
  </w:num>
  <w:num w:numId="11" w16cid:durableId="401610399">
    <w:abstractNumId w:val="11"/>
  </w:num>
  <w:num w:numId="12" w16cid:durableId="468400255">
    <w:abstractNumId w:val="17"/>
  </w:num>
  <w:num w:numId="13" w16cid:durableId="971710299">
    <w:abstractNumId w:val="2"/>
  </w:num>
  <w:num w:numId="14" w16cid:durableId="420761152">
    <w:abstractNumId w:val="0"/>
  </w:num>
  <w:num w:numId="15" w16cid:durableId="2083065142">
    <w:abstractNumId w:val="16"/>
  </w:num>
  <w:num w:numId="16" w16cid:durableId="1525822531">
    <w:abstractNumId w:val="1"/>
  </w:num>
  <w:num w:numId="17" w16cid:durableId="1228417517">
    <w:abstractNumId w:val="12"/>
  </w:num>
  <w:num w:numId="18" w16cid:durableId="251009370">
    <w:abstractNumId w:val="19"/>
  </w:num>
  <w:num w:numId="19" w16cid:durableId="343938405">
    <w:abstractNumId w:val="4"/>
  </w:num>
  <w:num w:numId="20" w16cid:durableId="370530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661"/>
    <w:rsid w:val="001323B0"/>
    <w:rsid w:val="0017034C"/>
    <w:rsid w:val="001B6C30"/>
    <w:rsid w:val="001C0044"/>
    <w:rsid w:val="00241AB8"/>
    <w:rsid w:val="00245B0E"/>
    <w:rsid w:val="002A1302"/>
    <w:rsid w:val="002D5847"/>
    <w:rsid w:val="003A2A80"/>
    <w:rsid w:val="004024B3"/>
    <w:rsid w:val="00447A35"/>
    <w:rsid w:val="00496309"/>
    <w:rsid w:val="004D7F28"/>
    <w:rsid w:val="00537A1B"/>
    <w:rsid w:val="00543E5C"/>
    <w:rsid w:val="005A5D7C"/>
    <w:rsid w:val="005B1661"/>
    <w:rsid w:val="005D115A"/>
    <w:rsid w:val="005F6967"/>
    <w:rsid w:val="00627E8C"/>
    <w:rsid w:val="00696791"/>
    <w:rsid w:val="0071278D"/>
    <w:rsid w:val="0076251F"/>
    <w:rsid w:val="00785D4A"/>
    <w:rsid w:val="007C1A9B"/>
    <w:rsid w:val="007C2604"/>
    <w:rsid w:val="007D6BC1"/>
    <w:rsid w:val="0081588C"/>
    <w:rsid w:val="0088310D"/>
    <w:rsid w:val="008B6918"/>
    <w:rsid w:val="008D4631"/>
    <w:rsid w:val="00965BBA"/>
    <w:rsid w:val="009723DF"/>
    <w:rsid w:val="00985ED5"/>
    <w:rsid w:val="009C522D"/>
    <w:rsid w:val="00A23C5D"/>
    <w:rsid w:val="00A37660"/>
    <w:rsid w:val="00A43321"/>
    <w:rsid w:val="00A570D2"/>
    <w:rsid w:val="00A75065"/>
    <w:rsid w:val="00A84C41"/>
    <w:rsid w:val="00AB69D4"/>
    <w:rsid w:val="00B6067F"/>
    <w:rsid w:val="00BA1AB2"/>
    <w:rsid w:val="00BC2565"/>
    <w:rsid w:val="00C23A0D"/>
    <w:rsid w:val="00C23FE0"/>
    <w:rsid w:val="00C96B0C"/>
    <w:rsid w:val="00DB07BF"/>
    <w:rsid w:val="00DC4460"/>
    <w:rsid w:val="00E0544B"/>
    <w:rsid w:val="00E127CE"/>
    <w:rsid w:val="00E573FF"/>
    <w:rsid w:val="00E71D9D"/>
    <w:rsid w:val="00E83AF9"/>
    <w:rsid w:val="00ED1FD9"/>
    <w:rsid w:val="00ED76AF"/>
    <w:rsid w:val="00EF00F5"/>
    <w:rsid w:val="00F149BD"/>
    <w:rsid w:val="00F20809"/>
    <w:rsid w:val="00F95C8D"/>
    <w:rsid w:val="00FF3DA8"/>
    <w:rsid w:val="00FF7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E879F"/>
  <w15:chartTrackingRefBased/>
  <w15:docId w15:val="{AA0C4462-E299-41AD-9D1C-63AFAD19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2604"/>
    <w:rPr>
      <w:color w:val="0563C1" w:themeColor="hyperlink"/>
      <w:u w:val="single"/>
    </w:rPr>
  </w:style>
  <w:style w:type="character" w:customStyle="1" w:styleId="UnresolvedMention1">
    <w:name w:val="Unresolved Mention1"/>
    <w:basedOn w:val="DefaultParagraphFont"/>
    <w:uiPriority w:val="99"/>
    <w:semiHidden/>
    <w:unhideWhenUsed/>
    <w:rsid w:val="007C2604"/>
    <w:rPr>
      <w:color w:val="605E5C"/>
      <w:shd w:val="clear" w:color="auto" w:fill="E1DFDD"/>
    </w:rPr>
  </w:style>
  <w:style w:type="paragraph" w:styleId="ListParagraph">
    <w:name w:val="List Paragraph"/>
    <w:basedOn w:val="Normal"/>
    <w:uiPriority w:val="34"/>
    <w:qFormat/>
    <w:rsid w:val="008B6918"/>
    <w:pPr>
      <w:ind w:left="720"/>
      <w:contextualSpacing/>
    </w:pPr>
  </w:style>
  <w:style w:type="paragraph" w:customStyle="1" w:styleId="is-not-touching">
    <w:name w:val="is-not-touching"/>
    <w:basedOn w:val="Normal"/>
    <w:rsid w:val="00A433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3321"/>
    <w:rPr>
      <w:b/>
      <w:bCs/>
    </w:rPr>
  </w:style>
  <w:style w:type="character" w:customStyle="1" w:styleId="normaltextrun">
    <w:name w:val="normaltextrun"/>
    <w:basedOn w:val="DefaultParagraphFont"/>
    <w:rsid w:val="00A43321"/>
  </w:style>
  <w:style w:type="character" w:customStyle="1" w:styleId="eop">
    <w:name w:val="eop"/>
    <w:basedOn w:val="DefaultParagraphFont"/>
    <w:rsid w:val="00A43321"/>
  </w:style>
  <w:style w:type="paragraph" w:customStyle="1" w:styleId="paragraph">
    <w:name w:val="paragraph"/>
    <w:basedOn w:val="Normal"/>
    <w:rsid w:val="00A4332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84C41"/>
    <w:rPr>
      <w:sz w:val="16"/>
      <w:szCs w:val="16"/>
    </w:rPr>
  </w:style>
  <w:style w:type="paragraph" w:styleId="CommentText">
    <w:name w:val="annotation text"/>
    <w:basedOn w:val="Normal"/>
    <w:link w:val="CommentTextChar"/>
    <w:uiPriority w:val="99"/>
    <w:unhideWhenUsed/>
    <w:rsid w:val="00A84C41"/>
    <w:pPr>
      <w:spacing w:line="240" w:lineRule="auto"/>
    </w:pPr>
    <w:rPr>
      <w:sz w:val="20"/>
      <w:szCs w:val="20"/>
    </w:rPr>
  </w:style>
  <w:style w:type="character" w:customStyle="1" w:styleId="CommentTextChar">
    <w:name w:val="Comment Text Char"/>
    <w:basedOn w:val="DefaultParagraphFont"/>
    <w:link w:val="CommentText"/>
    <w:uiPriority w:val="99"/>
    <w:rsid w:val="00A84C41"/>
    <w:rPr>
      <w:sz w:val="20"/>
      <w:szCs w:val="20"/>
    </w:rPr>
  </w:style>
  <w:style w:type="paragraph" w:styleId="CommentSubject">
    <w:name w:val="annotation subject"/>
    <w:basedOn w:val="CommentText"/>
    <w:next w:val="CommentText"/>
    <w:link w:val="CommentSubjectChar"/>
    <w:uiPriority w:val="99"/>
    <w:semiHidden/>
    <w:unhideWhenUsed/>
    <w:rsid w:val="00A84C41"/>
    <w:rPr>
      <w:b/>
      <w:bCs/>
    </w:rPr>
  </w:style>
  <w:style w:type="character" w:customStyle="1" w:styleId="CommentSubjectChar">
    <w:name w:val="Comment Subject Char"/>
    <w:basedOn w:val="CommentTextChar"/>
    <w:link w:val="CommentSubject"/>
    <w:uiPriority w:val="99"/>
    <w:semiHidden/>
    <w:rsid w:val="00A84C41"/>
    <w:rPr>
      <w:b/>
      <w:bCs/>
      <w:sz w:val="20"/>
      <w:szCs w:val="20"/>
    </w:rPr>
  </w:style>
  <w:style w:type="paragraph" w:styleId="BalloonText">
    <w:name w:val="Balloon Text"/>
    <w:basedOn w:val="Normal"/>
    <w:link w:val="BalloonTextChar"/>
    <w:uiPriority w:val="99"/>
    <w:semiHidden/>
    <w:unhideWhenUsed/>
    <w:rsid w:val="00A84C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C41"/>
    <w:rPr>
      <w:rFonts w:ascii="Segoe UI" w:hAnsi="Segoe UI" w:cs="Segoe UI"/>
      <w:sz w:val="18"/>
      <w:szCs w:val="18"/>
    </w:rPr>
  </w:style>
  <w:style w:type="character" w:customStyle="1" w:styleId="UnresolvedMention2">
    <w:name w:val="Unresolved Mention2"/>
    <w:basedOn w:val="DefaultParagraphFont"/>
    <w:uiPriority w:val="99"/>
    <w:semiHidden/>
    <w:unhideWhenUsed/>
    <w:rsid w:val="00241AB8"/>
    <w:rPr>
      <w:color w:val="605E5C"/>
      <w:shd w:val="clear" w:color="auto" w:fill="E1DFDD"/>
    </w:rPr>
  </w:style>
  <w:style w:type="paragraph" w:styleId="Revision">
    <w:name w:val="Revision"/>
    <w:hidden/>
    <w:uiPriority w:val="99"/>
    <w:semiHidden/>
    <w:rsid w:val="009C522D"/>
    <w:pPr>
      <w:spacing w:after="0" w:line="240" w:lineRule="auto"/>
    </w:pPr>
  </w:style>
  <w:style w:type="character" w:styleId="UnresolvedMention">
    <w:name w:val="Unresolved Mention"/>
    <w:basedOn w:val="DefaultParagraphFont"/>
    <w:uiPriority w:val="99"/>
    <w:semiHidden/>
    <w:unhideWhenUsed/>
    <w:rsid w:val="00985ED5"/>
    <w:rPr>
      <w:color w:val="605E5C"/>
      <w:shd w:val="clear" w:color="auto" w:fill="E1DFDD"/>
    </w:rPr>
  </w:style>
  <w:style w:type="character" w:styleId="FollowedHyperlink">
    <w:name w:val="FollowedHyperlink"/>
    <w:basedOn w:val="DefaultParagraphFont"/>
    <w:uiPriority w:val="99"/>
    <w:semiHidden/>
    <w:unhideWhenUsed/>
    <w:rsid w:val="00A376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mg.org/2024ib/certification.html" TargetMode="External"/><Relationship Id="rId13" Type="http://schemas.openxmlformats.org/officeDocument/2006/relationships/hyperlink" Target="https://thinkculturalhealth.hhs.gov/education/physicians"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www.uscis.gov/working-in-the-united-states/h-1b-specialty-occupa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aamc.org/services/member-capacity-building/holistic-review" TargetMode="External"/><Relationship Id="rId11" Type="http://schemas.openxmlformats.org/officeDocument/2006/relationships/hyperlink" Target="https://studyinthestates.dhs.gov/students/get-started/exchange-visito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cfmg.org/2024ib/certification.html" TargetMode="External"/><Relationship Id="rId4" Type="http://schemas.openxmlformats.org/officeDocument/2006/relationships/settings" Target="settings.xml"/><Relationship Id="rId9" Type="http://schemas.openxmlformats.org/officeDocument/2006/relationships/hyperlink" Target="https://thinkculturalhealth.hhs.gov/education/physicians" TargetMode="External"/><Relationship Id="rId14" Type="http://schemas.openxmlformats.org/officeDocument/2006/relationships/hyperlink" Target="https://www.aamc.org/services/member-capacity-building/holistic-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70CFE-835D-4E65-887B-6C6B2125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2627</Words>
  <Characters>14977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Rochester</Company>
  <LinksUpToDate>false</LinksUpToDate>
  <CharactersWithSpaces>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Gellin, Caren</dc:creator>
  <cp:keywords/>
  <dc:description/>
  <cp:lastModifiedBy>Gellin, Caren</cp:lastModifiedBy>
  <cp:revision>11</cp:revision>
  <dcterms:created xsi:type="dcterms:W3CDTF">2024-08-15T13:54:00Z</dcterms:created>
  <dcterms:modified xsi:type="dcterms:W3CDTF">2025-01-27T13:56:00Z</dcterms:modified>
</cp:coreProperties>
</file>