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CECF0B" w14:textId="77777777" w:rsidR="00E91AEC" w:rsidRDefault="00130E86">
      <w:pPr>
        <w:rPr>
          <w:u w:val="single"/>
        </w:rPr>
      </w:pPr>
      <w:r>
        <w:rPr>
          <w:u w:val="single"/>
        </w:rPr>
        <w:t>Pediatric Subspecialties</w:t>
      </w:r>
    </w:p>
    <w:p w14:paraId="16CECF0C" w14:textId="77777777" w:rsidR="00E91AEC" w:rsidRDefault="00E91AEC">
      <w:pPr>
        <w:rPr>
          <w:u w:val="single"/>
        </w:rPr>
      </w:pPr>
    </w:p>
    <w:p w14:paraId="16CECF0D" w14:textId="77777777" w:rsidR="00E91AEC" w:rsidRDefault="00130E86">
      <w:r>
        <w:t>Mark an ‘X’ for</w:t>
      </w:r>
      <w:r>
        <w:t xml:space="preserve"> the common subspecialty EPAs that can be assessed in each curricular experience/rotation.  Complete curricular mapping for at least 3 of the experiences in your curriculum.  Click on the </w:t>
      </w:r>
      <w:hyperlink r:id="rId4">
        <w:r>
          <w:rPr>
            <w:color w:val="1155CC"/>
            <w:u w:val="single"/>
          </w:rPr>
          <w:t>EPA link</w:t>
        </w:r>
      </w:hyperlink>
      <w:r>
        <w:t xml:space="preserve"> for more info about that EPA.</w:t>
      </w:r>
    </w:p>
    <w:p w14:paraId="16CECF0E" w14:textId="77777777" w:rsidR="00E91AEC" w:rsidRDefault="00E91AEC"/>
    <w:tbl>
      <w:tblPr>
        <w:tblStyle w:val="a"/>
        <w:tblW w:w="10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0"/>
        <w:gridCol w:w="4005"/>
        <w:gridCol w:w="1515"/>
        <w:gridCol w:w="1560"/>
        <w:gridCol w:w="1515"/>
      </w:tblGrid>
      <w:tr w:rsidR="00E91AEC" w14:paraId="16CECF14" w14:textId="77777777">
        <w:trPr>
          <w:trHeight w:val="680"/>
        </w:trPr>
        <w:tc>
          <w:tcPr>
            <w:tcW w:w="1590" w:type="dxa"/>
            <w:vAlign w:val="center"/>
          </w:tcPr>
          <w:p w14:paraId="16CECF0F" w14:textId="77777777" w:rsidR="00E91AEC" w:rsidRDefault="00130E8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Subspecialty Common EPA</w:t>
            </w:r>
          </w:p>
        </w:tc>
        <w:tc>
          <w:tcPr>
            <w:tcW w:w="4005" w:type="dxa"/>
            <w:vAlign w:val="center"/>
          </w:tcPr>
          <w:p w14:paraId="16CECF10" w14:textId="77777777" w:rsidR="00E91AEC" w:rsidRDefault="00130E8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Description</w:t>
            </w:r>
          </w:p>
        </w:tc>
        <w:tc>
          <w:tcPr>
            <w:tcW w:w="1515" w:type="dxa"/>
            <w:vAlign w:val="center"/>
          </w:tcPr>
          <w:p w14:paraId="16CECF11" w14:textId="77777777" w:rsidR="00E91AEC" w:rsidRDefault="00130E8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Curricular Experience 1</w:t>
            </w:r>
          </w:p>
        </w:tc>
        <w:tc>
          <w:tcPr>
            <w:tcW w:w="1560" w:type="dxa"/>
            <w:vAlign w:val="center"/>
          </w:tcPr>
          <w:p w14:paraId="16CECF12" w14:textId="5C72B528" w:rsidR="00E91AEC" w:rsidRDefault="00130E8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Curricular Experience</w:t>
            </w:r>
            <w:r>
              <w:rPr>
                <w:b/>
                <w:sz w:val="22"/>
                <w:szCs w:val="22"/>
              </w:rPr>
              <w:t xml:space="preserve"> 2</w:t>
            </w:r>
          </w:p>
        </w:tc>
        <w:tc>
          <w:tcPr>
            <w:tcW w:w="1515" w:type="dxa"/>
            <w:vAlign w:val="center"/>
          </w:tcPr>
          <w:p w14:paraId="16CECF13" w14:textId="77777777" w:rsidR="00E91AEC" w:rsidRDefault="00130E8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Curricular Experience 3</w:t>
            </w:r>
          </w:p>
        </w:tc>
      </w:tr>
      <w:tr w:rsidR="00E91AEC" w14:paraId="16CECF1A" w14:textId="77777777">
        <w:trPr>
          <w:trHeight w:val="620"/>
        </w:trPr>
        <w:tc>
          <w:tcPr>
            <w:tcW w:w="1590" w:type="dxa"/>
            <w:vAlign w:val="center"/>
          </w:tcPr>
          <w:p w14:paraId="16CECF15" w14:textId="77777777" w:rsidR="00E91AEC" w:rsidRDefault="00130E86">
            <w:pPr>
              <w:jc w:val="center"/>
              <w:rPr>
                <w:sz w:val="22"/>
                <w:szCs w:val="22"/>
                <w:u w:val="single"/>
              </w:rPr>
            </w:pPr>
            <w:hyperlink r:id="rId5">
              <w:r>
                <w:rPr>
                  <w:color w:val="1155CC"/>
                  <w:sz w:val="22"/>
                  <w:szCs w:val="22"/>
                  <w:u w:val="single"/>
                </w:rPr>
                <w:t>EPA 1</w:t>
              </w:r>
            </w:hyperlink>
          </w:p>
        </w:tc>
        <w:tc>
          <w:tcPr>
            <w:tcW w:w="4005" w:type="dxa"/>
            <w:vAlign w:val="center"/>
          </w:tcPr>
          <w:p w14:paraId="16CECF16" w14:textId="77777777" w:rsidR="00E91AEC" w:rsidRDefault="00130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Provide consultation to other health care providers caring for children for children and adolescents and refer patients requiring further consultation to other subspecialty providers if necessary</w:t>
            </w:r>
          </w:p>
        </w:tc>
        <w:tc>
          <w:tcPr>
            <w:tcW w:w="1515" w:type="dxa"/>
            <w:vAlign w:val="center"/>
          </w:tcPr>
          <w:p w14:paraId="16CECF17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vAlign w:val="center"/>
          </w:tcPr>
          <w:p w14:paraId="16CECF18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15" w:type="dxa"/>
            <w:vAlign w:val="center"/>
          </w:tcPr>
          <w:p w14:paraId="16CECF19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E91AEC" w14:paraId="16CECF20" w14:textId="77777777">
        <w:trPr>
          <w:trHeight w:val="620"/>
        </w:trPr>
        <w:tc>
          <w:tcPr>
            <w:tcW w:w="1590" w:type="dxa"/>
            <w:vAlign w:val="center"/>
          </w:tcPr>
          <w:p w14:paraId="16CECF1B" w14:textId="77777777" w:rsidR="00E91AEC" w:rsidRDefault="00130E86">
            <w:pPr>
              <w:jc w:val="center"/>
              <w:rPr>
                <w:sz w:val="22"/>
                <w:szCs w:val="22"/>
                <w:u w:val="single"/>
              </w:rPr>
            </w:pPr>
            <w:hyperlink r:id="rId6">
              <w:r>
                <w:rPr>
                  <w:color w:val="1155CC"/>
                  <w:sz w:val="22"/>
                  <w:szCs w:val="22"/>
                  <w:u w:val="single"/>
                </w:rPr>
                <w:t>EPA 2</w:t>
              </w:r>
            </w:hyperlink>
          </w:p>
        </w:tc>
        <w:tc>
          <w:tcPr>
            <w:tcW w:w="4005" w:type="dxa"/>
            <w:vAlign w:val="center"/>
          </w:tcPr>
          <w:p w14:paraId="16CECF1C" w14:textId="77777777" w:rsidR="00E91AEC" w:rsidRDefault="00130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Contribute to the fiscally sound, equitable and collaborative management of a healthcare workplace</w:t>
            </w:r>
          </w:p>
        </w:tc>
        <w:tc>
          <w:tcPr>
            <w:tcW w:w="1515" w:type="dxa"/>
            <w:vAlign w:val="center"/>
          </w:tcPr>
          <w:p w14:paraId="16CECF1D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vAlign w:val="center"/>
          </w:tcPr>
          <w:p w14:paraId="16CECF1E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15" w:type="dxa"/>
            <w:vAlign w:val="center"/>
          </w:tcPr>
          <w:p w14:paraId="16CECF1F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E91AEC" w14:paraId="16CECF26" w14:textId="77777777">
        <w:trPr>
          <w:trHeight w:val="620"/>
        </w:trPr>
        <w:tc>
          <w:tcPr>
            <w:tcW w:w="1590" w:type="dxa"/>
            <w:vAlign w:val="center"/>
          </w:tcPr>
          <w:p w14:paraId="16CECF21" w14:textId="77777777" w:rsidR="00E91AEC" w:rsidRDefault="00130E86">
            <w:pPr>
              <w:jc w:val="center"/>
              <w:rPr>
                <w:sz w:val="22"/>
                <w:szCs w:val="22"/>
                <w:u w:val="single"/>
              </w:rPr>
            </w:pPr>
            <w:hyperlink r:id="rId7">
              <w:r>
                <w:rPr>
                  <w:color w:val="1155CC"/>
                  <w:sz w:val="22"/>
                  <w:szCs w:val="22"/>
                  <w:u w:val="single"/>
                </w:rPr>
                <w:t>EPA 3</w:t>
              </w:r>
            </w:hyperlink>
          </w:p>
        </w:tc>
        <w:tc>
          <w:tcPr>
            <w:tcW w:w="4005" w:type="dxa"/>
            <w:vAlign w:val="center"/>
          </w:tcPr>
          <w:p w14:paraId="16CECF22" w14:textId="77777777" w:rsidR="00E91AEC" w:rsidRDefault="00130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Use population health strategies and QI methods to promote health and address racism, discrimination, and other contributors to inequities among pediatric populations</w:t>
            </w:r>
          </w:p>
        </w:tc>
        <w:tc>
          <w:tcPr>
            <w:tcW w:w="1515" w:type="dxa"/>
            <w:vAlign w:val="center"/>
          </w:tcPr>
          <w:p w14:paraId="16CECF23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vAlign w:val="center"/>
          </w:tcPr>
          <w:p w14:paraId="16CECF24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15" w:type="dxa"/>
            <w:vAlign w:val="center"/>
          </w:tcPr>
          <w:p w14:paraId="16CECF25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E91AEC" w14:paraId="16CECF2C" w14:textId="77777777">
        <w:trPr>
          <w:trHeight w:val="620"/>
        </w:trPr>
        <w:tc>
          <w:tcPr>
            <w:tcW w:w="1590" w:type="dxa"/>
            <w:vAlign w:val="center"/>
          </w:tcPr>
          <w:p w14:paraId="16CECF27" w14:textId="77777777" w:rsidR="00E91AEC" w:rsidRDefault="00130E86">
            <w:pPr>
              <w:jc w:val="center"/>
              <w:rPr>
                <w:sz w:val="22"/>
                <w:szCs w:val="22"/>
                <w:u w:val="single"/>
              </w:rPr>
            </w:pPr>
            <w:hyperlink r:id="rId8">
              <w:r>
                <w:rPr>
                  <w:color w:val="1155CC"/>
                  <w:sz w:val="22"/>
                  <w:szCs w:val="22"/>
                  <w:u w:val="single"/>
                </w:rPr>
                <w:t>EPA 4</w:t>
              </w:r>
            </w:hyperlink>
          </w:p>
        </w:tc>
        <w:tc>
          <w:tcPr>
            <w:tcW w:w="4005" w:type="dxa"/>
            <w:vAlign w:val="center"/>
          </w:tcPr>
          <w:p w14:paraId="16CECF28" w14:textId="77777777" w:rsidR="00E91AEC" w:rsidRDefault="00130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Lead an interprofessional health care team</w:t>
            </w:r>
          </w:p>
        </w:tc>
        <w:tc>
          <w:tcPr>
            <w:tcW w:w="1515" w:type="dxa"/>
            <w:vAlign w:val="center"/>
          </w:tcPr>
          <w:p w14:paraId="16CECF29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vAlign w:val="center"/>
          </w:tcPr>
          <w:p w14:paraId="16CECF2A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15" w:type="dxa"/>
            <w:vAlign w:val="center"/>
          </w:tcPr>
          <w:p w14:paraId="16CECF2B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E91AEC" w14:paraId="16CECF32" w14:textId="77777777">
        <w:trPr>
          <w:trHeight w:val="620"/>
        </w:trPr>
        <w:tc>
          <w:tcPr>
            <w:tcW w:w="1590" w:type="dxa"/>
            <w:vAlign w:val="center"/>
          </w:tcPr>
          <w:p w14:paraId="16CECF2D" w14:textId="77777777" w:rsidR="00E91AEC" w:rsidRDefault="00130E86">
            <w:pPr>
              <w:jc w:val="center"/>
              <w:rPr>
                <w:sz w:val="22"/>
                <w:szCs w:val="22"/>
                <w:u w:val="single"/>
              </w:rPr>
            </w:pPr>
            <w:hyperlink r:id="rId9">
              <w:r>
                <w:rPr>
                  <w:color w:val="1155CC"/>
                  <w:sz w:val="22"/>
                  <w:szCs w:val="22"/>
                  <w:u w:val="single"/>
                </w:rPr>
                <w:t>EPA 5</w:t>
              </w:r>
            </w:hyperlink>
          </w:p>
        </w:tc>
        <w:tc>
          <w:tcPr>
            <w:tcW w:w="4005" w:type="dxa"/>
            <w:vAlign w:val="center"/>
          </w:tcPr>
          <w:p w14:paraId="16CECF2E" w14:textId="77777777" w:rsidR="00E91AEC" w:rsidRDefault="00130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Facilitate handovers to another health care provider either within or across settings</w:t>
            </w:r>
          </w:p>
        </w:tc>
        <w:tc>
          <w:tcPr>
            <w:tcW w:w="1515" w:type="dxa"/>
            <w:vAlign w:val="center"/>
          </w:tcPr>
          <w:p w14:paraId="16CECF2F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vAlign w:val="center"/>
          </w:tcPr>
          <w:p w14:paraId="16CECF30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15" w:type="dxa"/>
            <w:vAlign w:val="center"/>
          </w:tcPr>
          <w:p w14:paraId="16CECF31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E91AEC" w14:paraId="16CECF38" w14:textId="77777777">
        <w:trPr>
          <w:trHeight w:val="620"/>
        </w:trPr>
        <w:tc>
          <w:tcPr>
            <w:tcW w:w="1590" w:type="dxa"/>
            <w:vAlign w:val="center"/>
          </w:tcPr>
          <w:p w14:paraId="16CECF33" w14:textId="77777777" w:rsidR="00E91AEC" w:rsidRDefault="00130E86">
            <w:pPr>
              <w:jc w:val="center"/>
              <w:rPr>
                <w:sz w:val="22"/>
                <w:szCs w:val="22"/>
                <w:u w:val="single"/>
              </w:rPr>
            </w:pPr>
            <w:hyperlink r:id="rId10">
              <w:r>
                <w:rPr>
                  <w:color w:val="1155CC"/>
                  <w:sz w:val="22"/>
                  <w:szCs w:val="22"/>
                  <w:u w:val="single"/>
                </w:rPr>
                <w:t>EPA 6</w:t>
              </w:r>
            </w:hyperlink>
          </w:p>
        </w:tc>
        <w:tc>
          <w:tcPr>
            <w:tcW w:w="4005" w:type="dxa"/>
            <w:vAlign w:val="center"/>
          </w:tcPr>
          <w:p w14:paraId="16CECF34" w14:textId="77777777" w:rsidR="00E91AEC" w:rsidRDefault="00130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Engage in scholarly activities through the discovery, application, and dissemination of new knowledge</w:t>
            </w:r>
          </w:p>
        </w:tc>
        <w:tc>
          <w:tcPr>
            <w:tcW w:w="1515" w:type="dxa"/>
            <w:vAlign w:val="center"/>
          </w:tcPr>
          <w:p w14:paraId="16CECF35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vAlign w:val="center"/>
          </w:tcPr>
          <w:p w14:paraId="16CECF36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15" w:type="dxa"/>
            <w:vAlign w:val="center"/>
          </w:tcPr>
          <w:p w14:paraId="16CECF37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E91AEC" w14:paraId="16CECF3E" w14:textId="77777777">
        <w:trPr>
          <w:trHeight w:val="620"/>
        </w:trPr>
        <w:tc>
          <w:tcPr>
            <w:tcW w:w="1590" w:type="dxa"/>
            <w:vAlign w:val="center"/>
          </w:tcPr>
          <w:p w14:paraId="16CECF39" w14:textId="77777777" w:rsidR="00E91AEC" w:rsidRDefault="00130E86">
            <w:pPr>
              <w:jc w:val="center"/>
              <w:rPr>
                <w:sz w:val="22"/>
                <w:szCs w:val="22"/>
                <w:u w:val="single"/>
              </w:rPr>
            </w:pPr>
            <w:hyperlink r:id="rId11">
              <w:r>
                <w:rPr>
                  <w:color w:val="1155CC"/>
                  <w:sz w:val="22"/>
                  <w:szCs w:val="22"/>
                  <w:u w:val="single"/>
                </w:rPr>
                <w:t>EPA 7</w:t>
              </w:r>
            </w:hyperlink>
          </w:p>
        </w:tc>
        <w:tc>
          <w:tcPr>
            <w:tcW w:w="4005" w:type="dxa"/>
            <w:vAlign w:val="center"/>
          </w:tcPr>
          <w:p w14:paraId="16CECF3A" w14:textId="77777777" w:rsidR="00E91AEC" w:rsidRDefault="00130E8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Lead within the subspecialty profession</w:t>
            </w:r>
          </w:p>
        </w:tc>
        <w:tc>
          <w:tcPr>
            <w:tcW w:w="1515" w:type="dxa"/>
            <w:vAlign w:val="center"/>
          </w:tcPr>
          <w:p w14:paraId="16CECF3B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vAlign w:val="center"/>
          </w:tcPr>
          <w:p w14:paraId="16CECF3C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15" w:type="dxa"/>
            <w:vAlign w:val="center"/>
          </w:tcPr>
          <w:p w14:paraId="16CECF3D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E91AEC" w14:paraId="16CECF44" w14:textId="77777777">
        <w:trPr>
          <w:trHeight w:val="620"/>
        </w:trPr>
        <w:tc>
          <w:tcPr>
            <w:tcW w:w="1590" w:type="dxa"/>
            <w:vAlign w:val="center"/>
          </w:tcPr>
          <w:p w14:paraId="16CECF3F" w14:textId="77777777" w:rsidR="00E91AEC" w:rsidRDefault="00E91AEC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4005" w:type="dxa"/>
            <w:vAlign w:val="center"/>
          </w:tcPr>
          <w:p w14:paraId="16CECF40" w14:textId="77777777" w:rsidR="00E91AEC" w:rsidRDefault="00E91AEC">
            <w:pPr>
              <w:rPr>
                <w:sz w:val="22"/>
                <w:szCs w:val="22"/>
              </w:rPr>
            </w:pPr>
          </w:p>
        </w:tc>
        <w:tc>
          <w:tcPr>
            <w:tcW w:w="1515" w:type="dxa"/>
            <w:vAlign w:val="center"/>
          </w:tcPr>
          <w:p w14:paraId="16CECF41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60" w:type="dxa"/>
            <w:vAlign w:val="center"/>
          </w:tcPr>
          <w:p w14:paraId="16CECF42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515" w:type="dxa"/>
            <w:vAlign w:val="center"/>
          </w:tcPr>
          <w:p w14:paraId="16CECF43" w14:textId="77777777" w:rsidR="00E91AEC" w:rsidRDefault="00130E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</w:tbl>
    <w:p w14:paraId="16CECF45" w14:textId="77777777" w:rsidR="00E91AEC" w:rsidRDefault="00E91AEC"/>
    <w:sectPr w:rsidR="00E91AEC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1BB8A2B1-58A2-874F-80C3-EF006A4B7653}"/>
    <w:embedBold r:id="rId2" w:fontKey="{568BA9D1-D2A9-A443-9E9E-773F69FADF8F}"/>
    <w:embedItalic r:id="rId3" w:fontKey="{809E701C-7D25-2A45-A28C-CD54F463BD32}"/>
  </w:font>
  <w:font w:name="Play">
    <w:charset w:val="00"/>
    <w:family w:val="auto"/>
    <w:pitch w:val="default"/>
    <w:embedRegular r:id="rId4" w:fontKey="{23A60838-D1FA-7347-AA60-3E8BC15729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B4ACF363-E89F-774B-AEC6-8C5F1CA6D03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B3E15EFA-73DF-7842-8679-88EC909E0C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FCB19DE-C0E1-604F-A4FE-9906B0AB09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AEC"/>
    <w:rsid w:val="00130E86"/>
    <w:rsid w:val="006D2F15"/>
    <w:rsid w:val="00E9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ECF0B"/>
  <w15:docId w15:val="{84B59E73-7E2D-1B40-AD5D-2579AC47C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p.org/sites/abp/files/pdf/epa-all-subs-4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abp.org/sites/public/files/pdf/epa-all-subs-3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bp.org/sites/abp/files/pdf/epa-all-subs-2.pdf" TargetMode="External"/><Relationship Id="rId11" Type="http://schemas.openxmlformats.org/officeDocument/2006/relationships/hyperlink" Target="https://www.abp.org/sites/abp/files/pdf/epa-all-subs-7.pdf" TargetMode="External"/><Relationship Id="rId5" Type="http://schemas.openxmlformats.org/officeDocument/2006/relationships/hyperlink" Target="https://www.abp.org/sites/abp/files/pdf/epa-all-subs-1.pdf" TargetMode="External"/><Relationship Id="rId10" Type="http://schemas.openxmlformats.org/officeDocument/2006/relationships/hyperlink" Target="https://www.abp.org/sites/abp/files/pdf/epa-all-subs-6.pdf" TargetMode="External"/><Relationship Id="rId4" Type="http://schemas.openxmlformats.org/officeDocument/2006/relationships/hyperlink" Target="https://www.abp.org/content/entrustable-professional-activities-subspecialties" TargetMode="External"/><Relationship Id="rId9" Type="http://schemas.openxmlformats.org/officeDocument/2006/relationships/hyperlink" Target="https://www.abp.org/sites/abp/files/pdf/epa-all-subs-5.pd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Stewart, David</cp:lastModifiedBy>
  <cp:revision>2</cp:revision>
  <dcterms:created xsi:type="dcterms:W3CDTF">2024-11-11T14:57:00Z</dcterms:created>
  <dcterms:modified xsi:type="dcterms:W3CDTF">2024-11-11T14:57:00Z</dcterms:modified>
</cp:coreProperties>
</file>