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CD89" w14:textId="77777777" w:rsidR="00431BF8" w:rsidRPr="00DA15EB" w:rsidRDefault="00431BF8" w:rsidP="00431BF8">
      <w:pPr>
        <w:rPr>
          <w:rFonts w:ascii="Cambria" w:eastAsia="Times New Roman" w:hAnsi="Cambria" w:cs="Times New Roman"/>
          <w:color w:val="000000"/>
          <w:kern w:val="0"/>
          <w:sz w:val="36"/>
          <w:szCs w:val="36"/>
          <w14:ligatures w14:val="none"/>
        </w:rPr>
      </w:pPr>
      <w:r w:rsidRPr="00DA15EB">
        <w:rPr>
          <w:rFonts w:ascii="Cambria" w:eastAsia="Times New Roman" w:hAnsi="Cambria" w:cs="Times New Roman"/>
          <w:b/>
          <w:bCs/>
          <w:color w:val="000000"/>
          <w:kern w:val="0"/>
          <w:sz w:val="36"/>
          <w:szCs w:val="36"/>
          <w14:ligatures w14:val="none"/>
        </w:rPr>
        <w:t>Resident Schedules</w:t>
      </w:r>
    </w:p>
    <w:p w14:paraId="1E0D04B8" w14:textId="3DB5E038" w:rsidR="00431BF8" w:rsidRDefault="00431BF8" w:rsidP="00431BF8">
      <w:pPr>
        <w:rPr>
          <w:rFonts w:ascii="Cambria" w:eastAsia="Times New Roman" w:hAnsi="Cambria" w:cs="Times New Roman"/>
          <w:color w:val="000000"/>
          <w:kern w:val="0"/>
          <w14:ligatures w14:val="none"/>
        </w:rPr>
      </w:pPr>
      <w:r w:rsidRPr="00DA15EB">
        <w:rPr>
          <w:rFonts w:ascii="Cambria" w:eastAsia="Times New Roman" w:hAnsi="Cambria" w:cs="Times New Roman"/>
          <w:color w:val="000000"/>
          <w:kern w:val="0"/>
          <w14:ligatures w14:val="none"/>
        </w:rPr>
        <w:t xml:space="preserve">Sara K. Kane, DO, </w:t>
      </w:r>
      <w:proofErr w:type="spellStart"/>
      <w:r w:rsidRPr="00DA15EB">
        <w:rPr>
          <w:rFonts w:ascii="Cambria" w:eastAsia="Times New Roman" w:hAnsi="Cambria" w:cs="Times New Roman"/>
          <w:color w:val="000000"/>
          <w:kern w:val="0"/>
          <w14:ligatures w14:val="none"/>
        </w:rPr>
        <w:t>MSEd</w:t>
      </w:r>
      <w:proofErr w:type="spellEnd"/>
      <w:r w:rsidRPr="00DA15EB">
        <w:rPr>
          <w:rFonts w:ascii="Cambria" w:eastAsia="Times New Roman" w:hAnsi="Cambria" w:cs="Times New Roman"/>
          <w:color w:val="000000"/>
          <w:kern w:val="0"/>
          <w14:ligatures w14:val="none"/>
        </w:rPr>
        <w:t>., Troy Johnston, MD</w:t>
      </w:r>
    </w:p>
    <w:p w14:paraId="05679B74" w14:textId="2C4BDE23" w:rsidR="0089014D" w:rsidRPr="00DA15EB" w:rsidRDefault="0089014D" w:rsidP="00431BF8">
      <w:pPr>
        <w:rPr>
          <w:rFonts w:ascii="Cambria" w:eastAsia="Times New Roman" w:hAnsi="Cambria" w:cs="Times New Roman"/>
          <w:color w:val="000000"/>
          <w:kern w:val="0"/>
          <w14:ligatures w14:val="none"/>
        </w:rPr>
      </w:pPr>
      <w:r>
        <w:rPr>
          <w:rFonts w:ascii="Cambria" w:hAnsi="Cambria"/>
        </w:rPr>
        <w:t>Edited by Rebecca Wallihan, MD and Elizabeth Nelson, MD</w:t>
      </w:r>
    </w:p>
    <w:p w14:paraId="747ADBBC" w14:textId="77777777" w:rsidR="00431BF8" w:rsidRPr="00431BF8" w:rsidRDefault="00431BF8" w:rsidP="00431BF8">
      <w:pPr>
        <w:rPr>
          <w:rFonts w:ascii="Times New Roman" w:eastAsia="Times New Roman" w:hAnsi="Times New Roman" w:cs="Times New Roman"/>
          <w:color w:val="000000"/>
          <w:kern w:val="0"/>
          <w14:ligatures w14:val="none"/>
        </w:rPr>
      </w:pPr>
    </w:p>
    <w:p w14:paraId="284CB3C9" w14:textId="00D8031F" w:rsidR="00431BF8" w:rsidRPr="00431BF8" w:rsidRDefault="00431BF8" w:rsidP="00431BF8">
      <w:pPr>
        <w:rPr>
          <w:rFonts w:ascii="Times New Roman" w:eastAsia="Times New Roman" w:hAnsi="Times New Roman" w:cs="Times New Roman"/>
          <w:color w:val="000000"/>
          <w:kern w:val="0"/>
          <w14:ligatures w14:val="none"/>
        </w:rPr>
      </w:pPr>
      <w:r w:rsidRPr="00431BF8">
        <w:rPr>
          <w:rFonts w:ascii="Times New Roman" w:eastAsia="Times New Roman" w:hAnsi="Times New Roman" w:cs="Times New Roman"/>
          <w:i/>
          <w:iCs/>
          <w:color w:val="000000"/>
          <w:kern w:val="0"/>
          <w:u w:val="single"/>
          <w14:ligatures w14:val="none"/>
        </w:rPr>
        <w:t>General Considerations</w:t>
      </w:r>
      <w:r w:rsidRPr="00431BF8">
        <w:rPr>
          <w:rFonts w:ascii="Times New Roman" w:eastAsia="Times New Roman" w:hAnsi="Times New Roman" w:cs="Times New Roman"/>
          <w:i/>
          <w:iCs/>
          <w:color w:val="000000"/>
          <w:kern w:val="0"/>
          <w14:ligatures w14:val="none"/>
        </w:rPr>
        <w:t xml:space="preserve"> (Note: using data from ACGME guidelines that were </w:t>
      </w:r>
      <w:r w:rsidR="000C3C7A">
        <w:rPr>
          <w:rFonts w:ascii="Times New Roman" w:eastAsia="Times New Roman" w:hAnsi="Times New Roman" w:cs="Times New Roman"/>
          <w:i/>
          <w:iCs/>
          <w:color w:val="000000"/>
          <w:kern w:val="0"/>
          <w14:ligatures w14:val="none"/>
        </w:rPr>
        <w:t>released in February 2024 for implementation in July 2025. This chapter</w:t>
      </w:r>
      <w:r w:rsidRPr="00431BF8">
        <w:rPr>
          <w:rFonts w:ascii="Times New Roman" w:eastAsia="Times New Roman" w:hAnsi="Times New Roman" w:cs="Times New Roman"/>
          <w:i/>
          <w:iCs/>
          <w:color w:val="000000"/>
          <w:kern w:val="0"/>
          <w14:ligatures w14:val="none"/>
        </w:rPr>
        <w:t xml:space="preserve"> may need adjustment</w:t>
      </w:r>
      <w:r w:rsidR="00907F3E">
        <w:rPr>
          <w:rFonts w:ascii="Times New Roman" w:eastAsia="Times New Roman" w:hAnsi="Times New Roman" w:cs="Times New Roman"/>
          <w:i/>
          <w:iCs/>
          <w:color w:val="000000"/>
          <w:kern w:val="0"/>
          <w14:ligatures w14:val="none"/>
        </w:rPr>
        <w:t>.</w:t>
      </w:r>
      <w:r w:rsidRPr="00431BF8">
        <w:rPr>
          <w:rFonts w:ascii="Times New Roman" w:eastAsia="Times New Roman" w:hAnsi="Times New Roman" w:cs="Times New Roman"/>
          <w:i/>
          <w:iCs/>
          <w:color w:val="000000"/>
          <w:kern w:val="0"/>
          <w14:ligatures w14:val="none"/>
        </w:rPr>
        <w:t>)</w:t>
      </w:r>
    </w:p>
    <w:p w14:paraId="2199DC7F" w14:textId="77777777" w:rsidR="00431BF8" w:rsidRDefault="00431BF8" w:rsidP="00431BF8">
      <w:pPr>
        <w:rPr>
          <w:rFonts w:ascii="Times New Roman" w:eastAsia="Times New Roman" w:hAnsi="Times New Roman" w:cs="Times New Roman"/>
          <w:color w:val="000000"/>
          <w:kern w:val="0"/>
          <w14:ligatures w14:val="none"/>
        </w:rPr>
      </w:pPr>
    </w:p>
    <w:p w14:paraId="19D33EC8" w14:textId="6B9FAD38" w:rsidR="000C3C7A" w:rsidRPr="00DA15EB" w:rsidRDefault="000C3C7A" w:rsidP="00431BF8">
      <w:pPr>
        <w:rPr>
          <w:rFonts w:ascii="Cambria" w:eastAsia="Times New Roman" w:hAnsi="Cambria" w:cs="Times New Roman"/>
          <w:color w:val="0070C0"/>
          <w:kern w:val="0"/>
          <w:sz w:val="28"/>
          <w:szCs w:val="28"/>
          <w14:ligatures w14:val="none"/>
        </w:rPr>
      </w:pPr>
      <w:r w:rsidRPr="00DA15EB">
        <w:rPr>
          <w:rFonts w:ascii="Cambria" w:eastAsia="Times New Roman" w:hAnsi="Cambria" w:cs="Times New Roman"/>
          <w:color w:val="0070C0"/>
          <w:kern w:val="0"/>
          <w:sz w:val="28"/>
          <w:szCs w:val="28"/>
          <w14:ligatures w14:val="none"/>
        </w:rPr>
        <w:t>Introduction</w:t>
      </w:r>
    </w:p>
    <w:p w14:paraId="0B895A0D" w14:textId="77777777" w:rsidR="000C3C7A" w:rsidRDefault="000C3C7A" w:rsidP="00431BF8">
      <w:pPr>
        <w:rPr>
          <w:rFonts w:ascii="Times New Roman" w:eastAsia="Times New Roman" w:hAnsi="Times New Roman" w:cs="Times New Roman"/>
          <w:color w:val="000000"/>
          <w:kern w:val="0"/>
          <w14:ligatures w14:val="none"/>
        </w:rPr>
      </w:pPr>
    </w:p>
    <w:p w14:paraId="57494F4A" w14:textId="6BEF0998" w:rsidR="00727301" w:rsidRPr="00DA15EB" w:rsidRDefault="00727301" w:rsidP="00431BF8">
      <w:pPr>
        <w:rPr>
          <w:rFonts w:eastAsia="Times New Roman" w:cstheme="minorHAnsi"/>
          <w:color w:val="000000"/>
          <w:kern w:val="0"/>
          <w14:ligatures w14:val="none"/>
        </w:rPr>
      </w:pPr>
      <w:r>
        <w:rPr>
          <w:rFonts w:eastAsia="Times New Roman" w:cstheme="minorHAnsi"/>
          <w:color w:val="000000"/>
          <w:kern w:val="0"/>
          <w14:ligatures w14:val="none"/>
        </w:rPr>
        <w:t xml:space="preserve">Effective scheduling is not merely a logistical puzzle but a key determinant of a thriving educational environment. It is incumbent upon program leadership to </w:t>
      </w:r>
      <w:r w:rsidR="002A6023">
        <w:rPr>
          <w:rFonts w:eastAsia="Times New Roman" w:cstheme="minorHAnsi"/>
          <w:color w:val="000000"/>
          <w:kern w:val="0"/>
          <w14:ligatures w14:val="none"/>
        </w:rPr>
        <w:t>craft schedules that balance clinical exposure, individualized training, academic pursuits, and resident well-being. In this chapter we delve into the overarching requirements, as well as the intricacies involved in resident schedules.</w:t>
      </w:r>
    </w:p>
    <w:p w14:paraId="4DD462F8" w14:textId="77777777" w:rsidR="00727301" w:rsidRDefault="00727301" w:rsidP="00431BF8">
      <w:pPr>
        <w:rPr>
          <w:rFonts w:ascii="Times New Roman" w:eastAsia="Times New Roman" w:hAnsi="Times New Roman" w:cs="Times New Roman"/>
          <w:color w:val="000000"/>
          <w:kern w:val="0"/>
          <w14:ligatures w14:val="none"/>
        </w:rPr>
      </w:pPr>
    </w:p>
    <w:p w14:paraId="3AA87C5A" w14:textId="4880BDCB" w:rsidR="000C3C7A" w:rsidRPr="00DA15EB" w:rsidRDefault="000C3C7A" w:rsidP="00431BF8">
      <w:pPr>
        <w:rPr>
          <w:rFonts w:ascii="Cambria" w:eastAsia="Times New Roman" w:hAnsi="Cambria" w:cs="Times New Roman"/>
          <w:color w:val="0070C0"/>
          <w:kern w:val="0"/>
          <w:sz w:val="28"/>
          <w:szCs w:val="28"/>
          <w:u w:val="single"/>
          <w14:ligatures w14:val="none"/>
        </w:rPr>
      </w:pPr>
      <w:r w:rsidRPr="00DA15EB">
        <w:rPr>
          <w:rFonts w:ascii="Cambria" w:eastAsia="Times New Roman" w:hAnsi="Cambria" w:cs="Times New Roman"/>
          <w:color w:val="0070C0"/>
          <w:kern w:val="0"/>
          <w:sz w:val="28"/>
          <w:szCs w:val="28"/>
          <w14:ligatures w14:val="none"/>
        </w:rPr>
        <w:t>Overall Structure</w:t>
      </w:r>
    </w:p>
    <w:p w14:paraId="2EECF509" w14:textId="77777777" w:rsidR="00A30F97" w:rsidRDefault="00A30F97" w:rsidP="00431BF8">
      <w:pPr>
        <w:rPr>
          <w:rFonts w:ascii="Times New Roman" w:eastAsia="Times New Roman" w:hAnsi="Times New Roman" w:cs="Times New Roman"/>
          <w:color w:val="000000"/>
          <w:kern w:val="0"/>
          <w14:ligatures w14:val="none"/>
        </w:rPr>
      </w:pPr>
    </w:p>
    <w:p w14:paraId="26ACA9A3" w14:textId="79FC7FD8" w:rsidR="00431BF8" w:rsidRDefault="00431BF8" w:rsidP="00431BF8">
      <w:pPr>
        <w:rPr>
          <w:rFonts w:eastAsia="Times New Roman" w:cstheme="minorHAnsi"/>
          <w:color w:val="000000"/>
          <w:kern w:val="0"/>
          <w14:ligatures w14:val="none"/>
        </w:rPr>
      </w:pPr>
      <w:r w:rsidRPr="00DA15EB">
        <w:rPr>
          <w:rFonts w:eastAsia="Times New Roman" w:cstheme="minorHAnsi"/>
          <w:color w:val="000000"/>
          <w:kern w:val="0"/>
          <w14:ligatures w14:val="none"/>
        </w:rPr>
        <w:t xml:space="preserve">While the ACGME guidelines dictate the general structure of the residency program, they provide some flexibility to accommodate program specific needs. When making a schedule, the following considerations must be </w:t>
      </w:r>
      <w:r w:rsidR="00907F3E" w:rsidRPr="00907F3E">
        <w:rPr>
          <w:rFonts w:eastAsia="Times New Roman" w:cstheme="minorHAnsi"/>
          <w:color w:val="000000"/>
          <w:kern w:val="0"/>
          <w14:ligatures w14:val="none"/>
        </w:rPr>
        <w:t>considered</w:t>
      </w:r>
      <w:r w:rsidRPr="00DA15EB">
        <w:rPr>
          <w:rFonts w:eastAsia="Times New Roman" w:cstheme="minorHAnsi"/>
          <w:color w:val="000000"/>
          <w:kern w:val="0"/>
          <w14:ligatures w14:val="none"/>
        </w:rPr>
        <w:t>.</w:t>
      </w:r>
    </w:p>
    <w:p w14:paraId="760C2B90" w14:textId="77777777" w:rsidR="00947B56" w:rsidRPr="00DA15EB" w:rsidRDefault="00947B56" w:rsidP="00431BF8">
      <w:pPr>
        <w:rPr>
          <w:rFonts w:eastAsia="Times New Roman" w:cstheme="minorHAnsi"/>
          <w:color w:val="000000"/>
          <w:kern w:val="0"/>
          <w14:ligatures w14:val="none"/>
        </w:rPr>
      </w:pPr>
    </w:p>
    <w:p w14:paraId="48F4A037" w14:textId="66C17B87" w:rsidR="00431BF8" w:rsidRPr="00DA15EB" w:rsidRDefault="00431BF8" w:rsidP="00431BF8">
      <w:pPr>
        <w:numPr>
          <w:ilvl w:val="0"/>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The schedule may be structured as either a block system, a longitudinal system, or a combination of the </w:t>
      </w:r>
      <w:r w:rsidR="00907F3E" w:rsidRPr="00907F3E">
        <w:rPr>
          <w:rFonts w:eastAsia="Times New Roman" w:cstheme="minorHAnsi"/>
          <w:color w:val="000000"/>
          <w:kern w:val="0"/>
          <w14:ligatures w14:val="none"/>
        </w:rPr>
        <w:t>two.</w:t>
      </w:r>
    </w:p>
    <w:p w14:paraId="6BB33B30" w14:textId="27ACCB60" w:rsidR="00431BF8" w:rsidRPr="00DA15EB" w:rsidRDefault="00431BF8" w:rsidP="00431BF8">
      <w:pPr>
        <w:numPr>
          <w:ilvl w:val="0"/>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Amounts of time are designated as “weeks”, and the definition of a “week” is a minimum of eight half days, allowing time for scheduled didactics or longitudinal </w:t>
      </w:r>
      <w:r w:rsidR="00907F3E" w:rsidRPr="00907F3E">
        <w:rPr>
          <w:rFonts w:eastAsia="Times New Roman" w:cstheme="minorHAnsi"/>
          <w:color w:val="000000"/>
          <w:kern w:val="0"/>
          <w14:ligatures w14:val="none"/>
        </w:rPr>
        <w:t>experiences.</w:t>
      </w:r>
    </w:p>
    <w:p w14:paraId="7E6F612B" w14:textId="2C379063" w:rsidR="00947B56" w:rsidRPr="00DA15EB" w:rsidRDefault="00431BF8" w:rsidP="00431BF8">
      <w:pPr>
        <w:numPr>
          <w:ilvl w:val="0"/>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In a </w:t>
      </w:r>
      <w:r w:rsidR="000C3C7A" w:rsidRPr="00DA15EB">
        <w:rPr>
          <w:rFonts w:eastAsia="Times New Roman" w:cstheme="minorHAnsi"/>
          <w:color w:val="000000"/>
          <w:kern w:val="0"/>
          <w14:ligatures w14:val="none"/>
        </w:rPr>
        <w:t>three-year</w:t>
      </w:r>
      <w:r w:rsidRPr="00DA15EB">
        <w:rPr>
          <w:rFonts w:eastAsia="Times New Roman" w:cstheme="minorHAnsi"/>
          <w:color w:val="000000"/>
          <w:kern w:val="0"/>
          <w14:ligatures w14:val="none"/>
        </w:rPr>
        <w:t xml:space="preserve"> residency program</w:t>
      </w:r>
      <w:r w:rsidR="00A30F97" w:rsidRPr="00DA15EB">
        <w:rPr>
          <w:rFonts w:eastAsia="Times New Roman" w:cstheme="minorHAnsi"/>
          <w:color w:val="000000"/>
          <w:kern w:val="0"/>
          <w14:ligatures w14:val="none"/>
        </w:rPr>
        <w:t>, the curriculum must include</w:t>
      </w:r>
      <w:r w:rsidRPr="00DA15EB">
        <w:rPr>
          <w:rFonts w:eastAsia="Times New Roman" w:cstheme="minorHAnsi"/>
          <w:color w:val="000000"/>
          <w:kern w:val="0"/>
          <w14:ligatures w14:val="none"/>
        </w:rPr>
        <w:t>:</w:t>
      </w:r>
    </w:p>
    <w:p w14:paraId="448F141F" w14:textId="3B44491B" w:rsidR="00947B56" w:rsidRPr="00DA15EB" w:rsidRDefault="00947B56" w:rsidP="00DA15EB">
      <w:pPr>
        <w:numPr>
          <w:ilvl w:val="1"/>
          <w:numId w:val="1"/>
        </w:numPr>
        <w:textAlignment w:val="baseline"/>
        <w:rPr>
          <w:rFonts w:eastAsia="Times New Roman" w:cstheme="minorHAnsi"/>
          <w:color w:val="000000"/>
          <w:kern w:val="0"/>
          <w14:ligatures w14:val="none"/>
        </w:rPr>
      </w:pPr>
      <w:r w:rsidRPr="00947B56">
        <w:rPr>
          <w:rFonts w:eastAsia="Times New Roman" w:cstheme="minorHAnsi"/>
          <w:color w:val="000000"/>
          <w:kern w:val="0"/>
          <w14:ligatures w14:val="none"/>
        </w:rPr>
        <w:t xml:space="preserve">A minimum of </w:t>
      </w:r>
      <w:r w:rsidR="00431BF8" w:rsidRPr="00DA15EB">
        <w:rPr>
          <w:rFonts w:eastAsia="Times New Roman" w:cstheme="minorHAnsi"/>
          <w:color w:val="000000"/>
          <w:kern w:val="0"/>
          <w14:ligatures w14:val="none"/>
        </w:rPr>
        <w:t xml:space="preserve">40 weeks </w:t>
      </w:r>
      <w:r w:rsidR="00A30F97" w:rsidRPr="00DA15EB">
        <w:rPr>
          <w:rFonts w:eastAsia="Times New Roman" w:cstheme="minorHAnsi"/>
          <w:color w:val="000000"/>
          <w:kern w:val="0"/>
          <w14:ligatures w14:val="none"/>
        </w:rPr>
        <w:t>of</w:t>
      </w:r>
      <w:r w:rsidR="00431BF8" w:rsidRPr="00DA15EB">
        <w:rPr>
          <w:rFonts w:eastAsia="Times New Roman" w:cstheme="minorHAnsi"/>
          <w:color w:val="000000"/>
          <w:kern w:val="0"/>
          <w14:ligatures w14:val="none"/>
        </w:rPr>
        <w:t xml:space="preserve"> ambulatory care experiences</w:t>
      </w:r>
      <w:r w:rsidRPr="00947B56">
        <w:rPr>
          <w:rFonts w:eastAsia="Times New Roman" w:cstheme="minorHAnsi"/>
          <w:color w:val="000000"/>
          <w:kern w:val="0"/>
          <w14:ligatures w14:val="none"/>
        </w:rPr>
        <w:t>, including community pediatrics and child advocacy</w:t>
      </w:r>
    </w:p>
    <w:p w14:paraId="1C4E53B1" w14:textId="5B5ED8C3" w:rsidR="00947B56"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8 weeks general ambulatory care</w:t>
      </w:r>
    </w:p>
    <w:p w14:paraId="50BE2C2E" w14:textId="4CADED25" w:rsidR="00947B56"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4 weeks</w:t>
      </w:r>
      <w:r w:rsidR="00A30F97" w:rsidRPr="00DA15EB">
        <w:rPr>
          <w:rFonts w:eastAsia="Times New Roman" w:cstheme="minorHAnsi"/>
          <w:color w:val="000000"/>
          <w:kern w:val="0"/>
          <w14:ligatures w14:val="none"/>
        </w:rPr>
        <w:t xml:space="preserve"> ambulatory</w:t>
      </w:r>
      <w:r w:rsidRPr="00DA15EB">
        <w:rPr>
          <w:rFonts w:eastAsia="Times New Roman" w:cstheme="minorHAnsi"/>
          <w:color w:val="000000"/>
          <w:kern w:val="0"/>
          <w14:ligatures w14:val="none"/>
        </w:rPr>
        <w:t xml:space="preserve"> subspecialty experience (must be in first 18 months of residency)</w:t>
      </w:r>
    </w:p>
    <w:p w14:paraId="7DCFA778" w14:textId="1D7728DF" w:rsidR="00947B56"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4 weeks adolescent medicine</w:t>
      </w:r>
    </w:p>
    <w:p w14:paraId="5C08E5A9" w14:textId="47E36A24" w:rsidR="00947B56"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4 weeks mental health</w:t>
      </w:r>
    </w:p>
    <w:p w14:paraId="6B029999" w14:textId="125C0E7A" w:rsidR="00947B56"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4 weeks developmental-behavioral pediatrics</w:t>
      </w:r>
    </w:p>
    <w:p w14:paraId="28CECEBA" w14:textId="642B6FAC" w:rsidR="00947B56"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12 weeks emergency medicine and acute illness (8 weeks must be in the ED)</w:t>
      </w:r>
    </w:p>
    <w:p w14:paraId="5C5422A3" w14:textId="3EC2E83C" w:rsidR="00947B56" w:rsidRPr="00DA15EB" w:rsidRDefault="00947B56" w:rsidP="00DA15EB">
      <w:pPr>
        <w:numPr>
          <w:ilvl w:val="1"/>
          <w:numId w:val="1"/>
        </w:numPr>
        <w:textAlignment w:val="baseline"/>
        <w:rPr>
          <w:rFonts w:eastAsia="Times New Roman" w:cstheme="minorHAnsi"/>
          <w:color w:val="000000"/>
          <w:kern w:val="0"/>
          <w14:ligatures w14:val="none"/>
        </w:rPr>
      </w:pPr>
      <w:r w:rsidRPr="00947B56">
        <w:rPr>
          <w:rFonts w:eastAsia="Times New Roman" w:cstheme="minorHAnsi"/>
          <w:color w:val="000000"/>
          <w:kern w:val="0"/>
          <w14:ligatures w14:val="none"/>
        </w:rPr>
        <w:t xml:space="preserve">A minimum of </w:t>
      </w:r>
      <w:r w:rsidR="00431BF8" w:rsidRPr="00DA15EB">
        <w:rPr>
          <w:rFonts w:eastAsia="Times New Roman" w:cstheme="minorHAnsi"/>
          <w:color w:val="000000"/>
          <w:kern w:val="0"/>
          <w14:ligatures w14:val="none"/>
        </w:rPr>
        <w:t xml:space="preserve">40 weeks </w:t>
      </w:r>
      <w:r w:rsidR="00A30F97" w:rsidRPr="00DA15EB">
        <w:rPr>
          <w:rFonts w:eastAsia="Times New Roman" w:cstheme="minorHAnsi"/>
          <w:color w:val="000000"/>
          <w:kern w:val="0"/>
          <w14:ligatures w14:val="none"/>
        </w:rPr>
        <w:t>of</w:t>
      </w:r>
      <w:r w:rsidR="00431BF8" w:rsidRPr="00DA15EB">
        <w:rPr>
          <w:rFonts w:eastAsia="Times New Roman" w:cstheme="minorHAnsi"/>
          <w:color w:val="000000"/>
          <w:kern w:val="0"/>
          <w14:ligatures w14:val="none"/>
        </w:rPr>
        <w:t xml:space="preserve"> inpatient care experiences</w:t>
      </w:r>
    </w:p>
    <w:p w14:paraId="204B4AE2" w14:textId="73DB870F" w:rsidR="00431BF8" w:rsidRPr="00DA15EB" w:rsidRDefault="00431BF8" w:rsidP="00DA15EB">
      <w:pPr>
        <w:numPr>
          <w:ilvl w:val="2"/>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24 weeks inpatient medicine, with a minimum of 16 weeks on a hospitalist or general pediatrics service</w:t>
      </w:r>
    </w:p>
    <w:p w14:paraId="63479592" w14:textId="47D92F3A" w:rsidR="00947B56" w:rsidRPr="00DA15EB" w:rsidRDefault="00431BF8" w:rsidP="00431BF8">
      <w:pPr>
        <w:numPr>
          <w:ilvl w:val="3"/>
          <w:numId w:val="12"/>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Remaining time must be on general/hospitalist service, or other subspecialty services, with no more than 4 weeks spent on a single non-pediatric hospital medicine </w:t>
      </w:r>
      <w:proofErr w:type="gramStart"/>
      <w:r w:rsidRPr="00DA15EB">
        <w:rPr>
          <w:rFonts w:eastAsia="Times New Roman" w:cstheme="minorHAnsi"/>
          <w:color w:val="000000"/>
          <w:kern w:val="0"/>
          <w14:ligatures w14:val="none"/>
        </w:rPr>
        <w:t>service</w:t>
      </w:r>
      <w:proofErr w:type="gramEnd"/>
    </w:p>
    <w:p w14:paraId="0E6C22BF" w14:textId="71F5A9BF" w:rsidR="00431BF8" w:rsidRPr="00DA15EB" w:rsidRDefault="00431BF8" w:rsidP="00DA15EB">
      <w:pPr>
        <w:numPr>
          <w:ilvl w:val="2"/>
          <w:numId w:val="12"/>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12 weeks intensive care</w:t>
      </w:r>
    </w:p>
    <w:p w14:paraId="657DB9E6" w14:textId="77777777" w:rsidR="00431BF8" w:rsidRPr="00DA15EB" w:rsidRDefault="00431BF8" w:rsidP="00431BF8">
      <w:pPr>
        <w:numPr>
          <w:ilvl w:val="3"/>
          <w:numId w:val="14"/>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lastRenderedPageBreak/>
        <w:t>4 weeks PICU</w:t>
      </w:r>
    </w:p>
    <w:p w14:paraId="23519575" w14:textId="77777777" w:rsidR="00431BF8" w:rsidRPr="00DA15EB" w:rsidRDefault="00431BF8" w:rsidP="00431BF8">
      <w:pPr>
        <w:numPr>
          <w:ilvl w:val="3"/>
          <w:numId w:val="15"/>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4 weeks NICU</w:t>
      </w:r>
    </w:p>
    <w:p w14:paraId="02B76F4C" w14:textId="787DF0E1" w:rsidR="00947B56" w:rsidRPr="00DA15EB" w:rsidRDefault="00431BF8" w:rsidP="00431BF8">
      <w:pPr>
        <w:numPr>
          <w:ilvl w:val="3"/>
          <w:numId w:val="1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4 </w:t>
      </w:r>
      <w:r w:rsidR="00A30F97" w:rsidRPr="00DA15EB">
        <w:rPr>
          <w:rFonts w:eastAsia="Times New Roman" w:cstheme="minorHAnsi"/>
          <w:color w:val="000000"/>
          <w:kern w:val="0"/>
          <w14:ligatures w14:val="none"/>
        </w:rPr>
        <w:t xml:space="preserve">additional </w:t>
      </w:r>
      <w:r w:rsidRPr="00DA15EB">
        <w:rPr>
          <w:rFonts w:eastAsia="Times New Roman" w:cstheme="minorHAnsi"/>
          <w:color w:val="000000"/>
          <w:kern w:val="0"/>
          <w14:ligatures w14:val="none"/>
        </w:rPr>
        <w:t xml:space="preserve">weeks of </w:t>
      </w:r>
      <w:r w:rsidR="00A30F97" w:rsidRPr="00DA15EB">
        <w:rPr>
          <w:rFonts w:eastAsia="Times New Roman" w:cstheme="minorHAnsi"/>
          <w:color w:val="000000"/>
          <w:kern w:val="0"/>
          <w14:ligatures w14:val="none"/>
        </w:rPr>
        <w:t xml:space="preserve">ICU experience, </w:t>
      </w:r>
      <w:r w:rsidRPr="00DA15EB">
        <w:rPr>
          <w:rFonts w:eastAsia="Times New Roman" w:cstheme="minorHAnsi"/>
          <w:color w:val="000000"/>
          <w:kern w:val="0"/>
          <w14:ligatures w14:val="none"/>
        </w:rPr>
        <w:t xml:space="preserve">either </w:t>
      </w:r>
      <w:r w:rsidR="00A30F97" w:rsidRPr="00DA15EB">
        <w:rPr>
          <w:rFonts w:eastAsia="Times New Roman" w:cstheme="minorHAnsi"/>
          <w:color w:val="000000"/>
          <w:kern w:val="0"/>
          <w14:ligatures w14:val="none"/>
        </w:rPr>
        <w:t xml:space="preserve">PICU, NICU, </w:t>
      </w:r>
      <w:r w:rsidRPr="00DA15EB">
        <w:rPr>
          <w:rFonts w:eastAsia="Times New Roman" w:cstheme="minorHAnsi"/>
          <w:color w:val="000000"/>
          <w:kern w:val="0"/>
          <w14:ligatures w14:val="none"/>
        </w:rPr>
        <w:t xml:space="preserve">or </w:t>
      </w:r>
      <w:r w:rsidR="00A30F97" w:rsidRPr="00DA15EB">
        <w:rPr>
          <w:rFonts w:eastAsia="Times New Roman" w:cstheme="minorHAnsi"/>
          <w:color w:val="000000"/>
          <w:kern w:val="0"/>
          <w14:ligatures w14:val="none"/>
        </w:rPr>
        <w:t xml:space="preserve">a </w:t>
      </w:r>
      <w:r w:rsidRPr="00DA15EB">
        <w:rPr>
          <w:rFonts w:eastAsia="Times New Roman" w:cstheme="minorHAnsi"/>
          <w:color w:val="000000"/>
          <w:kern w:val="0"/>
          <w14:ligatures w14:val="none"/>
        </w:rPr>
        <w:t>combination</w:t>
      </w:r>
      <w:r w:rsidR="00A30F97" w:rsidRPr="00DA15EB">
        <w:rPr>
          <w:rFonts w:eastAsia="Times New Roman" w:cstheme="minorHAnsi"/>
          <w:color w:val="000000"/>
          <w:kern w:val="0"/>
          <w14:ligatures w14:val="none"/>
        </w:rPr>
        <w:t xml:space="preserve"> of the two</w:t>
      </w:r>
    </w:p>
    <w:p w14:paraId="0744C6D6" w14:textId="0F7BD944" w:rsidR="00947B56" w:rsidRPr="00DA15EB" w:rsidRDefault="00431BF8" w:rsidP="00DA15EB">
      <w:pPr>
        <w:numPr>
          <w:ilvl w:val="2"/>
          <w:numId w:val="1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4 weeks newborn nursery</w:t>
      </w:r>
    </w:p>
    <w:p w14:paraId="3881391B" w14:textId="5877F6D2" w:rsidR="00947B56" w:rsidRPr="00DA15EB" w:rsidRDefault="00947B56" w:rsidP="00DA15EB">
      <w:pPr>
        <w:numPr>
          <w:ilvl w:val="1"/>
          <w:numId w:val="16"/>
        </w:numPr>
        <w:textAlignment w:val="baseline"/>
        <w:rPr>
          <w:rFonts w:eastAsia="Times New Roman" w:cstheme="minorHAnsi"/>
          <w:color w:val="000000"/>
          <w:kern w:val="0"/>
          <w14:ligatures w14:val="none"/>
        </w:rPr>
      </w:pPr>
      <w:r w:rsidRPr="00947B56">
        <w:rPr>
          <w:rFonts w:eastAsia="Times New Roman" w:cstheme="minorHAnsi"/>
          <w:color w:val="000000"/>
          <w:kern w:val="0"/>
          <w14:ligatures w14:val="none"/>
        </w:rPr>
        <w:t xml:space="preserve">A minimum of </w:t>
      </w:r>
      <w:r w:rsidR="00431BF8" w:rsidRPr="00DA15EB">
        <w:rPr>
          <w:rFonts w:eastAsia="Times New Roman" w:cstheme="minorHAnsi"/>
          <w:color w:val="000000"/>
          <w:kern w:val="0"/>
          <w14:ligatures w14:val="none"/>
        </w:rPr>
        <w:t xml:space="preserve">40 weeks </w:t>
      </w:r>
      <w:r w:rsidR="00A30F97" w:rsidRPr="00DA15EB">
        <w:rPr>
          <w:rFonts w:eastAsia="Times New Roman" w:cstheme="minorHAnsi"/>
          <w:color w:val="000000"/>
          <w:kern w:val="0"/>
          <w14:ligatures w14:val="none"/>
        </w:rPr>
        <w:t>of</w:t>
      </w:r>
      <w:r w:rsidR="00431BF8" w:rsidRPr="00DA15EB">
        <w:rPr>
          <w:rFonts w:eastAsia="Times New Roman" w:cstheme="minorHAnsi"/>
          <w:color w:val="000000"/>
          <w:kern w:val="0"/>
          <w14:ligatures w14:val="none"/>
        </w:rPr>
        <w:t xml:space="preserve"> individualized curriculum</w:t>
      </w:r>
    </w:p>
    <w:p w14:paraId="2AC1DB60" w14:textId="0D44AC9C" w:rsidR="00947B56" w:rsidRPr="00DA15EB" w:rsidRDefault="00431BF8" w:rsidP="00DA15EB">
      <w:pPr>
        <w:numPr>
          <w:ilvl w:val="2"/>
          <w:numId w:val="1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20 weeks of at least 5 additional subspecialties beyond those used to meet inpatient and outpatient requirements (minimum of 1 week, maximum of 4 weeks)</w:t>
      </w:r>
    </w:p>
    <w:p w14:paraId="271ABD18" w14:textId="1E9E99BE" w:rsidR="00947B56" w:rsidRPr="00DA15EB" w:rsidRDefault="00431BF8" w:rsidP="00DA15EB">
      <w:pPr>
        <w:numPr>
          <w:ilvl w:val="2"/>
          <w:numId w:val="1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20 weeks of elective experiences</w:t>
      </w:r>
    </w:p>
    <w:p w14:paraId="322F3B77" w14:textId="457CC2EC" w:rsidR="00947B56" w:rsidRPr="00DA15EB" w:rsidRDefault="00431BF8" w:rsidP="00DA15EB">
      <w:pPr>
        <w:numPr>
          <w:ilvl w:val="1"/>
          <w:numId w:val="1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24 weeks left to the discretion of the </w:t>
      </w:r>
      <w:proofErr w:type="gramStart"/>
      <w:r w:rsidRPr="00DA15EB">
        <w:rPr>
          <w:rFonts w:eastAsia="Times New Roman" w:cstheme="minorHAnsi"/>
          <w:color w:val="000000"/>
          <w:kern w:val="0"/>
          <w14:ligatures w14:val="none"/>
        </w:rPr>
        <w:t>program</w:t>
      </w:r>
      <w:proofErr w:type="gramEnd"/>
      <w:r w:rsidRPr="00DA15EB">
        <w:rPr>
          <w:rFonts w:eastAsia="Times New Roman" w:cstheme="minorHAnsi"/>
          <w:color w:val="000000"/>
          <w:kern w:val="0"/>
          <w14:ligatures w14:val="none"/>
        </w:rPr>
        <w:t> </w:t>
      </w:r>
    </w:p>
    <w:p w14:paraId="71095932" w14:textId="0D5DD64D" w:rsidR="00431BF8" w:rsidRDefault="00431BF8" w:rsidP="00431BF8">
      <w:pPr>
        <w:numPr>
          <w:ilvl w:val="0"/>
          <w:numId w:val="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There must be 36 half-day clinic sessions per year, and interval between sessions should not exceed 8 </w:t>
      </w:r>
      <w:r w:rsidR="00907F3E" w:rsidRPr="00907F3E">
        <w:rPr>
          <w:rFonts w:eastAsia="Times New Roman" w:cstheme="minorHAnsi"/>
          <w:color w:val="000000"/>
          <w:kern w:val="0"/>
          <w14:ligatures w14:val="none"/>
        </w:rPr>
        <w:t>weeks.</w:t>
      </w:r>
    </w:p>
    <w:p w14:paraId="509D2F42" w14:textId="066FA4A1" w:rsidR="00AF0695" w:rsidRPr="00DA15EB" w:rsidRDefault="00AF0695" w:rsidP="00431BF8">
      <w:pPr>
        <w:numPr>
          <w:ilvl w:val="0"/>
          <w:numId w:val="1"/>
        </w:numPr>
        <w:textAlignment w:val="baseline"/>
        <w:rPr>
          <w:rFonts w:eastAsia="Times New Roman" w:cstheme="minorHAnsi"/>
          <w:color w:val="000000"/>
          <w:kern w:val="0"/>
          <w14:ligatures w14:val="none"/>
        </w:rPr>
      </w:pPr>
      <w:r>
        <w:rPr>
          <w:rFonts w:eastAsia="Times New Roman" w:cstheme="minorHAnsi"/>
          <w:color w:val="000000"/>
          <w:kern w:val="0"/>
          <w14:ligatures w14:val="none"/>
        </w:rPr>
        <w:t>We encourage all program directors to thoroughly review the full ACGME requirements document listed in the Resources section</w:t>
      </w:r>
      <w:r w:rsidR="00907F3E">
        <w:rPr>
          <w:rFonts w:eastAsia="Times New Roman" w:cstheme="minorHAnsi"/>
          <w:color w:val="000000"/>
          <w:kern w:val="0"/>
          <w14:ligatures w14:val="none"/>
        </w:rPr>
        <w:t>.</w:t>
      </w:r>
    </w:p>
    <w:p w14:paraId="0EAFC7C1" w14:textId="77777777" w:rsidR="00431BF8" w:rsidRPr="00431BF8" w:rsidRDefault="00431BF8" w:rsidP="00431BF8">
      <w:pPr>
        <w:rPr>
          <w:rFonts w:ascii="Times New Roman" w:eastAsia="Times New Roman" w:hAnsi="Times New Roman" w:cs="Times New Roman"/>
          <w:color w:val="000000"/>
          <w:kern w:val="0"/>
          <w14:ligatures w14:val="none"/>
        </w:rPr>
      </w:pPr>
    </w:p>
    <w:p w14:paraId="088F02DF" w14:textId="77777777" w:rsidR="00431BF8" w:rsidRPr="00DA15EB" w:rsidRDefault="00431BF8" w:rsidP="00431BF8">
      <w:pPr>
        <w:rPr>
          <w:rFonts w:ascii="Cambria" w:eastAsia="Times New Roman" w:hAnsi="Cambria" w:cs="Times New Roman"/>
          <w:color w:val="000000"/>
          <w:kern w:val="0"/>
          <w14:ligatures w14:val="none"/>
        </w:rPr>
      </w:pPr>
      <w:r w:rsidRPr="00DA15EB">
        <w:rPr>
          <w:rFonts w:ascii="Cambria" w:eastAsia="Times New Roman" w:hAnsi="Cambria" w:cs="Times New Roman"/>
          <w:color w:val="0070C0"/>
          <w:kern w:val="0"/>
          <w:sz w:val="28"/>
          <w:szCs w:val="28"/>
          <w14:ligatures w14:val="none"/>
        </w:rPr>
        <w:t>Block Schedules vs. X+Y</w:t>
      </w:r>
    </w:p>
    <w:p w14:paraId="716DCA9F" w14:textId="77777777" w:rsidR="00431BF8" w:rsidRPr="00431BF8" w:rsidRDefault="00431BF8" w:rsidP="00431BF8">
      <w:pPr>
        <w:rPr>
          <w:rFonts w:ascii="Times New Roman" w:eastAsia="Times New Roman" w:hAnsi="Times New Roman" w:cs="Times New Roman"/>
          <w:color w:val="000000"/>
          <w:kern w:val="0"/>
          <w14:ligatures w14:val="none"/>
        </w:rPr>
      </w:pPr>
      <w:r w:rsidRPr="00431BF8">
        <w:rPr>
          <w:rFonts w:ascii="Times New Roman" w:eastAsia="Times New Roman" w:hAnsi="Times New Roman" w:cs="Times New Roman"/>
          <w:i/>
          <w:iCs/>
          <w:color w:val="000000"/>
          <w:kern w:val="0"/>
          <w14:ligatures w14:val="none"/>
        </w:rPr>
        <w:tab/>
      </w:r>
    </w:p>
    <w:p w14:paraId="1C033D03" w14:textId="63F2F6F3" w:rsidR="00431BF8" w:rsidRPr="00DA15EB" w:rsidRDefault="002A6023" w:rsidP="00431BF8">
      <w:pPr>
        <w:rPr>
          <w:rFonts w:eastAsia="Times New Roman" w:cstheme="minorHAnsi"/>
          <w:color w:val="000000"/>
          <w:kern w:val="0"/>
          <w14:ligatures w14:val="none"/>
        </w:rPr>
      </w:pPr>
      <w:r>
        <w:rPr>
          <w:rFonts w:eastAsia="Times New Roman" w:cstheme="minorHAnsi"/>
          <w:color w:val="000000"/>
          <w:kern w:val="0"/>
          <w14:ligatures w14:val="none"/>
        </w:rPr>
        <w:t xml:space="preserve">Two common models for resident scheduling are block and X+Y. </w:t>
      </w:r>
      <w:r w:rsidR="00431BF8" w:rsidRPr="00DA15EB">
        <w:rPr>
          <w:rFonts w:eastAsia="Times New Roman" w:cstheme="minorHAnsi"/>
          <w:color w:val="000000"/>
          <w:kern w:val="0"/>
          <w14:ligatures w14:val="none"/>
        </w:rPr>
        <w:t>Determining the schedule system that works best for your program is one way to highlight the strengths of your program. </w:t>
      </w:r>
    </w:p>
    <w:p w14:paraId="43484A52" w14:textId="7C4430C0" w:rsidR="00431BF8" w:rsidRPr="00DA15EB" w:rsidRDefault="00431BF8" w:rsidP="00431BF8">
      <w:pPr>
        <w:numPr>
          <w:ilvl w:val="0"/>
          <w:numId w:val="2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Block system:</w:t>
      </w:r>
      <w:r w:rsidR="00D3133F">
        <w:rPr>
          <w:rFonts w:eastAsia="Times New Roman" w:cstheme="minorHAnsi"/>
          <w:color w:val="000000"/>
          <w:kern w:val="0"/>
          <w14:ligatures w14:val="none"/>
        </w:rPr>
        <w:t xml:space="preserve"> This model has</w:t>
      </w:r>
      <w:r w:rsidRPr="00DA15EB">
        <w:rPr>
          <w:rFonts w:eastAsia="Times New Roman" w:cstheme="minorHAnsi"/>
          <w:color w:val="000000"/>
          <w:kern w:val="0"/>
          <w14:ligatures w14:val="none"/>
        </w:rPr>
        <w:t xml:space="preserve"> </w:t>
      </w:r>
      <w:r w:rsidR="00D3133F">
        <w:rPr>
          <w:rFonts w:eastAsia="Times New Roman" w:cstheme="minorHAnsi"/>
          <w:color w:val="000000"/>
          <w:kern w:val="0"/>
          <w14:ligatures w14:val="none"/>
        </w:rPr>
        <w:t>a consistent duration of blocks throughout the year (</w:t>
      </w:r>
      <w:r w:rsidR="00907F3E">
        <w:rPr>
          <w:rFonts w:eastAsia="Times New Roman" w:cstheme="minorHAnsi"/>
          <w:color w:val="000000"/>
          <w:kern w:val="0"/>
          <w14:ligatures w14:val="none"/>
        </w:rPr>
        <w:t>e.g.,</w:t>
      </w:r>
      <w:r w:rsidR="00D3133F">
        <w:rPr>
          <w:rFonts w:eastAsia="Times New Roman" w:cstheme="minorHAnsi"/>
          <w:color w:val="000000"/>
          <w:kern w:val="0"/>
          <w14:ligatures w14:val="none"/>
        </w:rPr>
        <w:t xml:space="preserve"> 13 four-week blocks or 26 two-week blocks)</w:t>
      </w:r>
      <w:r w:rsidR="002A6023">
        <w:rPr>
          <w:rFonts w:eastAsia="Times New Roman" w:cstheme="minorHAnsi"/>
          <w:color w:val="000000"/>
          <w:kern w:val="0"/>
          <w14:ligatures w14:val="none"/>
        </w:rPr>
        <w:t>.</w:t>
      </w:r>
      <w:r w:rsidRPr="00DA15EB">
        <w:rPr>
          <w:rFonts w:eastAsia="Times New Roman" w:cstheme="minorHAnsi"/>
          <w:color w:val="000000"/>
          <w:kern w:val="0"/>
          <w14:ligatures w14:val="none"/>
        </w:rPr>
        <w:t xml:space="preserve"> In this system, it is common for </w:t>
      </w:r>
      <w:r w:rsidR="002A6023">
        <w:rPr>
          <w:rFonts w:eastAsia="Times New Roman" w:cstheme="minorHAnsi"/>
          <w:color w:val="000000"/>
          <w:kern w:val="0"/>
          <w14:ligatures w14:val="none"/>
        </w:rPr>
        <w:t xml:space="preserve">residents to attend </w:t>
      </w:r>
      <w:r w:rsidRPr="00DA15EB">
        <w:rPr>
          <w:rFonts w:eastAsia="Times New Roman" w:cstheme="minorHAnsi"/>
          <w:color w:val="000000"/>
          <w:kern w:val="0"/>
          <w14:ligatures w14:val="none"/>
        </w:rPr>
        <w:t>continuity clinic sessions one half day/week, regardless of the rotation</w:t>
      </w:r>
      <w:r w:rsidR="002A6023">
        <w:rPr>
          <w:rFonts w:eastAsia="Times New Roman" w:cstheme="minorHAnsi"/>
          <w:color w:val="000000"/>
          <w:kern w:val="0"/>
          <w14:ligatures w14:val="none"/>
        </w:rPr>
        <w:t>.</w:t>
      </w:r>
    </w:p>
    <w:p w14:paraId="47580866" w14:textId="389F56C9" w:rsidR="00431BF8" w:rsidRPr="00DA15EB" w:rsidRDefault="00431BF8" w:rsidP="002A6023">
      <w:pPr>
        <w:numPr>
          <w:ilvl w:val="0"/>
          <w:numId w:val="2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X+Y system: </w:t>
      </w:r>
      <w:r w:rsidR="002A6023" w:rsidRPr="002A6023">
        <w:rPr>
          <w:rFonts w:eastAsia="Times New Roman" w:cstheme="minorHAnsi"/>
          <w:color w:val="000000"/>
          <w:kern w:val="0"/>
          <w14:ligatures w14:val="none"/>
        </w:rPr>
        <w:t>This model has various rotations during the “X”</w:t>
      </w:r>
      <w:r w:rsidR="002A6023">
        <w:rPr>
          <w:rFonts w:eastAsia="Times New Roman" w:cstheme="minorHAnsi"/>
          <w:color w:val="000000"/>
          <w:kern w:val="0"/>
          <w14:ligatures w14:val="none"/>
        </w:rPr>
        <w:t xml:space="preserve"> </w:t>
      </w:r>
      <w:r w:rsidR="002A6023" w:rsidRPr="002A6023">
        <w:rPr>
          <w:rFonts w:eastAsia="Times New Roman" w:cstheme="minorHAnsi"/>
          <w:color w:val="000000"/>
          <w:kern w:val="0"/>
          <w14:ligatures w14:val="none"/>
        </w:rPr>
        <w:t>block with no scheduled continuity clinics. The “Y” block</w:t>
      </w:r>
      <w:r w:rsidR="002A6023">
        <w:rPr>
          <w:rFonts w:eastAsia="Times New Roman" w:cstheme="minorHAnsi"/>
          <w:color w:val="000000"/>
          <w:kern w:val="0"/>
          <w14:ligatures w14:val="none"/>
        </w:rPr>
        <w:t xml:space="preserve"> </w:t>
      </w:r>
      <w:r w:rsidR="002A6023" w:rsidRPr="002A6023">
        <w:rPr>
          <w:rFonts w:eastAsia="Times New Roman" w:cstheme="minorHAnsi"/>
          <w:color w:val="000000"/>
          <w:kern w:val="0"/>
          <w14:ligatures w14:val="none"/>
        </w:rPr>
        <w:t xml:space="preserve">has </w:t>
      </w:r>
      <w:r w:rsidR="00907F3E" w:rsidRPr="002A6023">
        <w:rPr>
          <w:rFonts w:eastAsia="Times New Roman" w:cstheme="minorHAnsi"/>
          <w:color w:val="000000"/>
          <w:kern w:val="0"/>
          <w14:ligatures w14:val="none"/>
        </w:rPr>
        <w:t>several</w:t>
      </w:r>
      <w:r w:rsidR="002A6023" w:rsidRPr="002A6023">
        <w:rPr>
          <w:rFonts w:eastAsia="Times New Roman" w:cstheme="minorHAnsi"/>
          <w:color w:val="000000"/>
          <w:kern w:val="0"/>
          <w14:ligatures w14:val="none"/>
        </w:rPr>
        <w:t xml:space="preserve"> scheduled continuity clinics that may or</w:t>
      </w:r>
      <w:r w:rsidR="002A6023">
        <w:rPr>
          <w:rFonts w:eastAsia="Times New Roman" w:cstheme="minorHAnsi"/>
          <w:color w:val="000000"/>
          <w:kern w:val="0"/>
          <w14:ligatures w14:val="none"/>
        </w:rPr>
        <w:t xml:space="preserve"> </w:t>
      </w:r>
      <w:r w:rsidR="002A6023" w:rsidRPr="002A6023">
        <w:rPr>
          <w:rFonts w:eastAsia="Times New Roman" w:cstheme="minorHAnsi"/>
          <w:color w:val="000000"/>
          <w:kern w:val="0"/>
          <w14:ligatures w14:val="none"/>
        </w:rPr>
        <w:t>may not be paired with another type of</w:t>
      </w:r>
      <w:r w:rsidR="002A6023">
        <w:rPr>
          <w:rFonts w:eastAsia="Times New Roman" w:cstheme="minorHAnsi"/>
          <w:color w:val="000000"/>
          <w:kern w:val="0"/>
          <w14:ligatures w14:val="none"/>
        </w:rPr>
        <w:t xml:space="preserve"> longitudinal</w:t>
      </w:r>
      <w:r w:rsidR="002A6023" w:rsidRPr="002A6023">
        <w:rPr>
          <w:rFonts w:eastAsia="Times New Roman" w:cstheme="minorHAnsi"/>
          <w:color w:val="000000"/>
          <w:kern w:val="0"/>
          <w14:ligatures w14:val="none"/>
        </w:rPr>
        <w:t xml:space="preserve"> ambulatory experience. </w:t>
      </w:r>
    </w:p>
    <w:p w14:paraId="17471E61" w14:textId="1C496690" w:rsidR="00431BF8" w:rsidRPr="00DA15EB" w:rsidRDefault="00431BF8" w:rsidP="00DA15EB">
      <w:pPr>
        <w:numPr>
          <w:ilvl w:val="1"/>
          <w:numId w:val="55"/>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Longitudinal experiences </w:t>
      </w:r>
      <w:r w:rsidR="002A6023">
        <w:rPr>
          <w:rFonts w:eastAsia="Times New Roman" w:cstheme="minorHAnsi"/>
          <w:color w:val="000000"/>
          <w:kern w:val="0"/>
          <w14:ligatures w14:val="none"/>
        </w:rPr>
        <w:t>often</w:t>
      </w:r>
      <w:r w:rsidR="00A30F97" w:rsidRPr="00DA15EB">
        <w:rPr>
          <w:rFonts w:eastAsia="Times New Roman" w:cstheme="minorHAnsi"/>
          <w:color w:val="000000"/>
          <w:kern w:val="0"/>
          <w14:ligatures w14:val="none"/>
        </w:rPr>
        <w:t xml:space="preserve"> </w:t>
      </w:r>
      <w:r w:rsidRPr="00DA15EB">
        <w:rPr>
          <w:rFonts w:eastAsia="Times New Roman" w:cstheme="minorHAnsi"/>
          <w:color w:val="000000"/>
          <w:kern w:val="0"/>
          <w14:ligatures w14:val="none"/>
        </w:rPr>
        <w:t>include continuity clinic, community rotation</w:t>
      </w:r>
      <w:r w:rsidR="00A30F97" w:rsidRPr="00DA15EB">
        <w:rPr>
          <w:rFonts w:eastAsia="Times New Roman" w:cstheme="minorHAnsi"/>
          <w:color w:val="000000"/>
          <w:kern w:val="0"/>
          <w14:ligatures w14:val="none"/>
        </w:rPr>
        <w:t>s</w:t>
      </w:r>
      <w:r w:rsidRPr="00DA15EB">
        <w:rPr>
          <w:rFonts w:eastAsia="Times New Roman" w:cstheme="minorHAnsi"/>
          <w:color w:val="000000"/>
          <w:kern w:val="0"/>
          <w14:ligatures w14:val="none"/>
        </w:rPr>
        <w:t xml:space="preserve">, </w:t>
      </w:r>
      <w:r w:rsidR="002A6023">
        <w:rPr>
          <w:rFonts w:eastAsia="Times New Roman" w:cstheme="minorHAnsi"/>
          <w:color w:val="000000"/>
          <w:kern w:val="0"/>
          <w14:ligatures w14:val="none"/>
        </w:rPr>
        <w:t xml:space="preserve">and </w:t>
      </w:r>
      <w:r w:rsidRPr="00DA15EB">
        <w:rPr>
          <w:rFonts w:eastAsia="Times New Roman" w:cstheme="minorHAnsi"/>
          <w:color w:val="000000"/>
          <w:kern w:val="0"/>
          <w14:ligatures w14:val="none"/>
        </w:rPr>
        <w:t>ambulatory rotation</w:t>
      </w:r>
      <w:r w:rsidR="00A30F97" w:rsidRPr="00DA15EB">
        <w:rPr>
          <w:rFonts w:eastAsia="Times New Roman" w:cstheme="minorHAnsi"/>
          <w:color w:val="000000"/>
          <w:kern w:val="0"/>
          <w14:ligatures w14:val="none"/>
        </w:rPr>
        <w:t>s</w:t>
      </w:r>
      <w:r w:rsidRPr="00DA15EB">
        <w:rPr>
          <w:rFonts w:eastAsia="Times New Roman" w:cstheme="minorHAnsi"/>
          <w:color w:val="000000"/>
          <w:kern w:val="0"/>
          <w14:ligatures w14:val="none"/>
        </w:rPr>
        <w:t xml:space="preserve">, but there are also opportunities to get creative in the scheduling. </w:t>
      </w:r>
      <w:r w:rsidR="002A6023">
        <w:rPr>
          <w:rFonts w:eastAsia="Times New Roman" w:cstheme="minorHAnsi"/>
          <w:color w:val="000000"/>
          <w:kern w:val="0"/>
          <w14:ligatures w14:val="none"/>
        </w:rPr>
        <w:t>Additional p</w:t>
      </w:r>
      <w:r w:rsidRPr="00DA15EB">
        <w:rPr>
          <w:rFonts w:eastAsia="Times New Roman" w:cstheme="minorHAnsi"/>
          <w:color w:val="000000"/>
          <w:kern w:val="0"/>
          <w14:ligatures w14:val="none"/>
        </w:rPr>
        <w:t>ossibilities include longitudinal</w:t>
      </w:r>
      <w:r w:rsidR="002A6023">
        <w:rPr>
          <w:rFonts w:eastAsia="Times New Roman" w:cstheme="minorHAnsi"/>
          <w:color w:val="000000"/>
          <w:kern w:val="0"/>
          <w14:ligatures w14:val="none"/>
        </w:rPr>
        <w:t>:</w:t>
      </w:r>
    </w:p>
    <w:p w14:paraId="1E65233E" w14:textId="0DD5AF86" w:rsidR="00431BF8" w:rsidRPr="00DA15EB" w:rsidRDefault="00A30F97" w:rsidP="00DA15EB">
      <w:pPr>
        <w:numPr>
          <w:ilvl w:val="0"/>
          <w:numId w:val="5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Scholarly activity</w:t>
      </w:r>
      <w:r w:rsidR="00431BF8" w:rsidRPr="00DA15EB">
        <w:rPr>
          <w:rFonts w:eastAsia="Times New Roman" w:cstheme="minorHAnsi"/>
          <w:color w:val="000000"/>
          <w:kern w:val="0"/>
          <w14:ligatures w14:val="none"/>
        </w:rPr>
        <w:t> </w:t>
      </w:r>
    </w:p>
    <w:p w14:paraId="2905B740" w14:textId="59BB5742" w:rsidR="00431BF8" w:rsidRPr="00DA15EB" w:rsidRDefault="00A30F97" w:rsidP="00DA15EB">
      <w:pPr>
        <w:numPr>
          <w:ilvl w:val="0"/>
          <w:numId w:val="5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Advocacy</w:t>
      </w:r>
    </w:p>
    <w:p w14:paraId="5B53CECA" w14:textId="00C624F8" w:rsidR="00431BF8" w:rsidRPr="00DA15EB" w:rsidRDefault="00A30F97" w:rsidP="00DA15EB">
      <w:pPr>
        <w:numPr>
          <w:ilvl w:val="0"/>
          <w:numId w:val="5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C</w:t>
      </w:r>
      <w:r w:rsidR="00431BF8" w:rsidRPr="00DA15EB">
        <w:rPr>
          <w:rFonts w:eastAsia="Times New Roman" w:cstheme="minorHAnsi"/>
          <w:color w:val="000000"/>
          <w:kern w:val="0"/>
          <w14:ligatures w14:val="none"/>
        </w:rPr>
        <w:t>areer exploration electives</w:t>
      </w:r>
    </w:p>
    <w:p w14:paraId="39311298" w14:textId="77777777" w:rsidR="00431BF8" w:rsidRPr="00DA15EB" w:rsidRDefault="00431BF8" w:rsidP="00DA15EB">
      <w:pPr>
        <w:numPr>
          <w:ilvl w:val="0"/>
          <w:numId w:val="5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Outpatient subspecialty experiences</w:t>
      </w:r>
    </w:p>
    <w:p w14:paraId="2AA32AAF" w14:textId="77777777" w:rsidR="00431BF8" w:rsidRPr="00DA15EB" w:rsidRDefault="00431BF8" w:rsidP="00DA15EB">
      <w:pPr>
        <w:numPr>
          <w:ilvl w:val="0"/>
          <w:numId w:val="5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Mental health experiences</w:t>
      </w:r>
    </w:p>
    <w:p w14:paraId="46D3521F" w14:textId="0B39503B" w:rsidR="00A30F97" w:rsidRPr="00DA15EB" w:rsidRDefault="00A30F97" w:rsidP="00DA15EB">
      <w:pPr>
        <w:numPr>
          <w:ilvl w:val="0"/>
          <w:numId w:val="5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Adolescent medicine</w:t>
      </w:r>
    </w:p>
    <w:p w14:paraId="50A950C4" w14:textId="77777777" w:rsidR="00431BF8" w:rsidRPr="00DA15EB" w:rsidRDefault="00431BF8" w:rsidP="00DA15EB">
      <w:pPr>
        <w:numPr>
          <w:ilvl w:val="0"/>
          <w:numId w:val="57"/>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Many programs include academic half days or wellness days into the “Y” block</w:t>
      </w:r>
    </w:p>
    <w:p w14:paraId="0A8C5D34" w14:textId="77777777" w:rsidR="00431BF8" w:rsidRPr="00DA15EB" w:rsidRDefault="00431BF8" w:rsidP="00DA15EB">
      <w:pPr>
        <w:numPr>
          <w:ilvl w:val="0"/>
          <w:numId w:val="57"/>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Some of the traditional X+Y formats are 3+1, 4+2, 4+1, 4+4, 6+2, but other formats can be used based on your specific needs for your program</w:t>
      </w:r>
    </w:p>
    <w:p w14:paraId="45E039E1" w14:textId="77777777" w:rsidR="00431BF8" w:rsidRPr="00431BF8" w:rsidRDefault="00431BF8" w:rsidP="00431BF8">
      <w:pPr>
        <w:rPr>
          <w:rFonts w:ascii="Times New Roman" w:eastAsia="Times New Roman" w:hAnsi="Times New Roman" w:cs="Times New Roman"/>
          <w:color w:val="000000"/>
          <w:kern w:val="0"/>
          <w14:ligatures w14:val="none"/>
        </w:rPr>
      </w:pPr>
    </w:p>
    <w:p w14:paraId="46194A19" w14:textId="77777777" w:rsidR="00431BF8" w:rsidRPr="00DA15EB" w:rsidRDefault="00431BF8" w:rsidP="00431BF8">
      <w:pPr>
        <w:rPr>
          <w:rFonts w:ascii="Cambria" w:eastAsia="Times New Roman" w:hAnsi="Cambria" w:cs="Times New Roman"/>
          <w:color w:val="0070C0"/>
          <w:kern w:val="0"/>
          <w:sz w:val="28"/>
          <w:szCs w:val="28"/>
          <w14:ligatures w14:val="none"/>
        </w:rPr>
      </w:pPr>
      <w:r w:rsidRPr="00DA15EB">
        <w:rPr>
          <w:rFonts w:ascii="Cambria" w:eastAsia="Times New Roman" w:hAnsi="Cambria" w:cs="Times New Roman"/>
          <w:color w:val="0070C0"/>
          <w:kern w:val="0"/>
          <w:sz w:val="28"/>
          <w:szCs w:val="28"/>
          <w14:ligatures w14:val="none"/>
        </w:rPr>
        <w:t>Backup Call Systems</w:t>
      </w:r>
    </w:p>
    <w:p w14:paraId="0516FFA6" w14:textId="77777777" w:rsidR="003476BA" w:rsidRDefault="003476BA" w:rsidP="00431BF8">
      <w:pPr>
        <w:rPr>
          <w:rFonts w:ascii="Times New Roman" w:eastAsia="Times New Roman" w:hAnsi="Times New Roman" w:cs="Times New Roman"/>
          <w:color w:val="000000"/>
          <w:kern w:val="0"/>
          <w14:ligatures w14:val="none"/>
        </w:rPr>
      </w:pPr>
    </w:p>
    <w:p w14:paraId="533C875C" w14:textId="53CDCBDF" w:rsidR="00431BF8" w:rsidRPr="00DA15EB" w:rsidRDefault="00431BF8" w:rsidP="00431BF8">
      <w:pPr>
        <w:rPr>
          <w:rFonts w:eastAsia="Times New Roman" w:cstheme="minorHAnsi"/>
          <w:color w:val="000000"/>
          <w:kern w:val="0"/>
          <w14:ligatures w14:val="none"/>
        </w:rPr>
      </w:pPr>
      <w:r w:rsidRPr="00DA15EB">
        <w:rPr>
          <w:rFonts w:eastAsia="Times New Roman" w:cstheme="minorHAnsi"/>
          <w:color w:val="000000"/>
          <w:kern w:val="0"/>
          <w14:ligatures w14:val="none"/>
        </w:rPr>
        <w:t xml:space="preserve">Backup call, also known as sick call or jeopardy call, can be individualized by the program. </w:t>
      </w:r>
    </w:p>
    <w:p w14:paraId="44D2D735" w14:textId="77777777" w:rsidR="003476BA" w:rsidRDefault="003476BA" w:rsidP="00431BF8">
      <w:pPr>
        <w:rPr>
          <w:rFonts w:eastAsia="Times New Roman" w:cstheme="minorHAnsi"/>
          <w:color w:val="000000"/>
          <w:kern w:val="0"/>
          <w14:ligatures w14:val="none"/>
        </w:rPr>
      </w:pPr>
    </w:p>
    <w:p w14:paraId="5421ABF0" w14:textId="1B206517" w:rsidR="00431BF8" w:rsidRPr="00DA15EB" w:rsidRDefault="00431BF8" w:rsidP="00431BF8">
      <w:pPr>
        <w:rPr>
          <w:rFonts w:eastAsia="Times New Roman" w:cstheme="minorHAnsi"/>
          <w:color w:val="000000"/>
          <w:kern w:val="0"/>
          <w14:ligatures w14:val="none"/>
        </w:rPr>
      </w:pPr>
      <w:r w:rsidRPr="00DA15EB">
        <w:rPr>
          <w:rFonts w:eastAsia="Times New Roman" w:cstheme="minorHAnsi"/>
          <w:color w:val="000000"/>
          <w:kern w:val="0"/>
          <w14:ligatures w14:val="none"/>
        </w:rPr>
        <w:t>Possible backup call systems include: </w:t>
      </w:r>
    </w:p>
    <w:p w14:paraId="2ACDF606" w14:textId="09CF70A3" w:rsidR="00431BF8" w:rsidRPr="00DA15EB" w:rsidRDefault="00D3133F" w:rsidP="00431BF8">
      <w:pPr>
        <w:numPr>
          <w:ilvl w:val="0"/>
          <w:numId w:val="32"/>
        </w:numPr>
        <w:textAlignment w:val="baseline"/>
        <w:rPr>
          <w:rFonts w:eastAsia="Times New Roman" w:cstheme="minorHAnsi"/>
          <w:color w:val="000000"/>
          <w:kern w:val="0"/>
          <w14:ligatures w14:val="none"/>
        </w:rPr>
      </w:pPr>
      <w:r>
        <w:rPr>
          <w:rFonts w:eastAsia="Times New Roman" w:cstheme="minorHAnsi"/>
          <w:color w:val="000000"/>
          <w:kern w:val="0"/>
          <w14:ligatures w14:val="none"/>
        </w:rPr>
        <w:lastRenderedPageBreak/>
        <w:t>A</w:t>
      </w:r>
      <w:r w:rsidR="00431BF8" w:rsidRPr="00DA15EB">
        <w:rPr>
          <w:rFonts w:eastAsia="Times New Roman" w:cstheme="minorHAnsi"/>
          <w:color w:val="000000"/>
          <w:kern w:val="0"/>
          <w14:ligatures w14:val="none"/>
        </w:rPr>
        <w:t xml:space="preserve"> “payback model”- when one resident calls out, they then “owe” a shift to the other resident or to the residency </w:t>
      </w:r>
      <w:r w:rsidR="00907F3E" w:rsidRPr="00907F3E">
        <w:rPr>
          <w:rFonts w:eastAsia="Times New Roman" w:cstheme="minorHAnsi"/>
          <w:color w:val="000000"/>
          <w:kern w:val="0"/>
          <w14:ligatures w14:val="none"/>
        </w:rPr>
        <w:t>program</w:t>
      </w:r>
      <w:r>
        <w:rPr>
          <w:rFonts w:eastAsia="Times New Roman" w:cstheme="minorHAnsi"/>
          <w:color w:val="000000"/>
          <w:kern w:val="0"/>
          <w14:ligatures w14:val="none"/>
        </w:rPr>
        <w:t>.</w:t>
      </w:r>
    </w:p>
    <w:p w14:paraId="3A6403DF" w14:textId="65B073ED" w:rsidR="00431BF8" w:rsidRPr="00DA15EB" w:rsidRDefault="00D3133F" w:rsidP="00431BF8">
      <w:pPr>
        <w:numPr>
          <w:ilvl w:val="0"/>
          <w:numId w:val="32"/>
        </w:numPr>
        <w:textAlignment w:val="baseline"/>
        <w:rPr>
          <w:rFonts w:eastAsia="Times New Roman" w:cstheme="minorHAnsi"/>
          <w:color w:val="000000"/>
          <w:kern w:val="0"/>
          <w14:ligatures w14:val="none"/>
        </w:rPr>
      </w:pPr>
      <w:r>
        <w:rPr>
          <w:rFonts w:eastAsia="Times New Roman" w:cstheme="minorHAnsi"/>
          <w:color w:val="000000"/>
          <w:kern w:val="0"/>
          <w14:ligatures w14:val="none"/>
        </w:rPr>
        <w:t>A</w:t>
      </w:r>
      <w:r w:rsidR="00431BF8" w:rsidRPr="00DA15EB">
        <w:rPr>
          <w:rFonts w:eastAsia="Times New Roman" w:cstheme="minorHAnsi"/>
          <w:color w:val="000000"/>
          <w:kern w:val="0"/>
          <w14:ligatures w14:val="none"/>
        </w:rPr>
        <w:t xml:space="preserve"> “points” method, where calling out from a day shift is deemed separate than calling out from a </w:t>
      </w:r>
      <w:r w:rsidR="003476BA" w:rsidRPr="003476BA">
        <w:rPr>
          <w:rFonts w:eastAsia="Times New Roman" w:cstheme="minorHAnsi"/>
          <w:color w:val="000000"/>
          <w:kern w:val="0"/>
          <w14:ligatures w14:val="none"/>
        </w:rPr>
        <w:t>24-hour</w:t>
      </w:r>
      <w:r w:rsidR="00431BF8" w:rsidRPr="00DA15EB">
        <w:rPr>
          <w:rFonts w:eastAsia="Times New Roman" w:cstheme="minorHAnsi"/>
          <w:color w:val="000000"/>
          <w:kern w:val="0"/>
          <w14:ligatures w14:val="none"/>
        </w:rPr>
        <w:t xml:space="preserve"> shift, and points are assigned accordingly. Residents are then required to do additional shifts when their “points” reach a certain threshold.</w:t>
      </w:r>
    </w:p>
    <w:p w14:paraId="29F544A0" w14:textId="14F6065C" w:rsidR="00431BF8" w:rsidRPr="00DA15EB" w:rsidRDefault="00D3133F" w:rsidP="00431BF8">
      <w:pPr>
        <w:numPr>
          <w:ilvl w:val="0"/>
          <w:numId w:val="32"/>
        </w:numPr>
        <w:textAlignment w:val="baseline"/>
        <w:rPr>
          <w:rFonts w:eastAsia="Times New Roman" w:cstheme="minorHAnsi"/>
          <w:color w:val="000000"/>
          <w:kern w:val="0"/>
          <w14:ligatures w14:val="none"/>
        </w:rPr>
      </w:pPr>
      <w:r>
        <w:rPr>
          <w:rFonts w:eastAsia="Times New Roman" w:cstheme="minorHAnsi"/>
          <w:color w:val="000000"/>
          <w:kern w:val="0"/>
          <w14:ligatures w14:val="none"/>
        </w:rPr>
        <w:t>A</w:t>
      </w:r>
      <w:r w:rsidR="00431BF8" w:rsidRPr="00DA15EB">
        <w:rPr>
          <w:rFonts w:eastAsia="Times New Roman" w:cstheme="minorHAnsi"/>
          <w:color w:val="000000"/>
          <w:kern w:val="0"/>
          <w14:ligatures w14:val="none"/>
        </w:rPr>
        <w:t xml:space="preserve"> Jeopardy rotation, where residents are on a designated </w:t>
      </w:r>
      <w:r w:rsidR="00907F3E" w:rsidRPr="00907F3E">
        <w:rPr>
          <w:rFonts w:eastAsia="Times New Roman" w:cstheme="minorHAnsi"/>
          <w:color w:val="000000"/>
          <w:kern w:val="0"/>
          <w14:ligatures w14:val="none"/>
        </w:rPr>
        <w:t>period</w:t>
      </w:r>
      <w:r w:rsidR="00431BF8" w:rsidRPr="00DA15EB">
        <w:rPr>
          <w:rFonts w:eastAsia="Times New Roman" w:cstheme="minorHAnsi"/>
          <w:color w:val="000000"/>
          <w:kern w:val="0"/>
          <w14:ligatures w14:val="none"/>
        </w:rPr>
        <w:t xml:space="preserve"> to cover back up call, and if they get called in for that no additional payback is required</w:t>
      </w:r>
      <w:r>
        <w:rPr>
          <w:rFonts w:eastAsia="Times New Roman" w:cstheme="minorHAnsi"/>
          <w:color w:val="000000"/>
          <w:kern w:val="0"/>
          <w14:ligatures w14:val="none"/>
        </w:rPr>
        <w:t>.</w:t>
      </w:r>
    </w:p>
    <w:p w14:paraId="1D8DC9AF" w14:textId="77777777" w:rsidR="003476BA" w:rsidRDefault="003476BA" w:rsidP="00431BF8">
      <w:pPr>
        <w:rPr>
          <w:rFonts w:eastAsia="Times New Roman" w:cstheme="minorHAnsi"/>
          <w:color w:val="000000"/>
          <w:kern w:val="0"/>
          <w14:ligatures w14:val="none"/>
        </w:rPr>
      </w:pPr>
    </w:p>
    <w:p w14:paraId="669B55B3" w14:textId="52416889" w:rsidR="003476BA" w:rsidRPr="00B367E2" w:rsidRDefault="00431BF8" w:rsidP="003476BA">
      <w:pPr>
        <w:rPr>
          <w:rFonts w:eastAsia="Times New Roman" w:cstheme="minorHAnsi"/>
          <w:color w:val="000000"/>
          <w:kern w:val="0"/>
          <w14:ligatures w14:val="none"/>
        </w:rPr>
      </w:pPr>
      <w:r w:rsidRPr="00DA15EB">
        <w:rPr>
          <w:rFonts w:eastAsia="Times New Roman" w:cstheme="minorHAnsi"/>
          <w:color w:val="000000"/>
          <w:kern w:val="0"/>
          <w14:ligatures w14:val="none"/>
        </w:rPr>
        <w:t>It is important to keep track absences to make sure they do not exceed the ABP limit for time away from training.</w:t>
      </w:r>
      <w:r w:rsidR="003476BA">
        <w:rPr>
          <w:rFonts w:eastAsia="Times New Roman" w:cstheme="minorHAnsi"/>
          <w:color w:val="000000"/>
          <w:kern w:val="0"/>
          <w14:ligatures w14:val="none"/>
        </w:rPr>
        <w:t xml:space="preserve"> </w:t>
      </w:r>
      <w:r w:rsidR="003476BA" w:rsidRPr="00B367E2">
        <w:rPr>
          <w:rFonts w:eastAsia="Times New Roman" w:cstheme="minorHAnsi"/>
          <w:color w:val="000000"/>
          <w:kern w:val="0"/>
          <w14:ligatures w14:val="none"/>
        </w:rPr>
        <w:t>This should be different from the system for parental, medical or caregiver leave. The ABP allows up to eight weeks of elective time</w:t>
      </w:r>
      <w:r w:rsidR="003476BA">
        <w:rPr>
          <w:rFonts w:eastAsia="Times New Roman" w:cstheme="minorHAnsi"/>
          <w:color w:val="000000"/>
          <w:kern w:val="0"/>
          <w14:ligatures w14:val="none"/>
        </w:rPr>
        <w:t xml:space="preserve"> to be</w:t>
      </w:r>
      <w:r w:rsidR="003476BA" w:rsidRPr="00B367E2">
        <w:rPr>
          <w:rFonts w:eastAsia="Times New Roman" w:cstheme="minorHAnsi"/>
          <w:color w:val="000000"/>
          <w:kern w:val="0"/>
          <w14:ligatures w14:val="none"/>
        </w:rPr>
        <w:t xml:space="preserve"> waived for a qualifying act. Six weeks can be waived for residents on non-standard pathways. (</w:t>
      </w:r>
      <w:hyperlink r:id="rId5" w:history="1">
        <w:r w:rsidR="003476BA" w:rsidRPr="00B367E2">
          <w:rPr>
            <w:rFonts w:eastAsia="Times New Roman" w:cstheme="minorHAnsi"/>
            <w:color w:val="1155CC"/>
            <w:kern w:val="0"/>
            <w:u w:val="single"/>
            <w14:ligatures w14:val="none"/>
          </w:rPr>
          <w:t>https://www.abp.org/sites/abp/files/pdf/cic-absences-from-training.pdf</w:t>
        </w:r>
      </w:hyperlink>
      <w:r w:rsidR="003476BA" w:rsidRPr="00B367E2">
        <w:rPr>
          <w:rFonts w:eastAsia="Times New Roman" w:cstheme="minorHAnsi"/>
          <w:color w:val="000000"/>
          <w:kern w:val="0"/>
          <w14:ligatures w14:val="none"/>
        </w:rPr>
        <w:t>). </w:t>
      </w:r>
    </w:p>
    <w:p w14:paraId="2CAB62EF" w14:textId="77777777" w:rsidR="00431BF8" w:rsidRPr="00DA15EB" w:rsidRDefault="00431BF8" w:rsidP="00431BF8">
      <w:pPr>
        <w:rPr>
          <w:rFonts w:eastAsia="Times New Roman" w:cstheme="minorHAnsi"/>
          <w:color w:val="000000"/>
          <w:kern w:val="0"/>
          <w14:ligatures w14:val="none"/>
        </w:rPr>
      </w:pPr>
    </w:p>
    <w:p w14:paraId="45FF3800" w14:textId="77777777" w:rsidR="00431BF8" w:rsidRPr="00DA15EB" w:rsidRDefault="00431BF8" w:rsidP="00431BF8">
      <w:pPr>
        <w:rPr>
          <w:rFonts w:ascii="Cambria" w:eastAsia="Times New Roman" w:hAnsi="Cambria" w:cs="Times New Roman"/>
          <w:color w:val="0070C0"/>
          <w:kern w:val="0"/>
          <w:sz w:val="28"/>
          <w:szCs w:val="28"/>
          <w14:ligatures w14:val="none"/>
        </w:rPr>
      </w:pPr>
      <w:r w:rsidRPr="00DA15EB">
        <w:rPr>
          <w:rFonts w:ascii="Cambria" w:eastAsia="Times New Roman" w:hAnsi="Cambria" w:cs="Times New Roman"/>
          <w:color w:val="0070C0"/>
          <w:kern w:val="0"/>
          <w:sz w:val="28"/>
          <w:szCs w:val="28"/>
          <w14:ligatures w14:val="none"/>
        </w:rPr>
        <w:t>Schedule Considerations for Combined and Non-Standard Pathways</w:t>
      </w:r>
    </w:p>
    <w:p w14:paraId="1F73A341" w14:textId="77777777" w:rsidR="003476BA" w:rsidRDefault="003476BA" w:rsidP="00431BF8">
      <w:pPr>
        <w:rPr>
          <w:rFonts w:eastAsia="Times New Roman" w:cstheme="minorHAnsi"/>
          <w:color w:val="000000"/>
          <w:kern w:val="0"/>
          <w14:ligatures w14:val="none"/>
        </w:rPr>
      </w:pPr>
    </w:p>
    <w:p w14:paraId="6B143549" w14:textId="4B79EC86" w:rsidR="00431BF8" w:rsidRPr="00DA15EB" w:rsidRDefault="00431BF8" w:rsidP="00431BF8">
      <w:pPr>
        <w:rPr>
          <w:rFonts w:eastAsia="Times New Roman" w:cstheme="minorHAnsi"/>
          <w:color w:val="000000"/>
          <w:kern w:val="0"/>
          <w14:ligatures w14:val="none"/>
        </w:rPr>
      </w:pPr>
      <w:r w:rsidRPr="00DA15EB">
        <w:rPr>
          <w:rFonts w:eastAsia="Times New Roman" w:cstheme="minorHAnsi"/>
          <w:color w:val="000000"/>
          <w:kern w:val="0"/>
          <w14:ligatures w14:val="none"/>
        </w:rPr>
        <w:t xml:space="preserve">Special consideration may be needed for residents who are in combined programs or non-standard pathways. These </w:t>
      </w:r>
      <w:proofErr w:type="spellStart"/>
      <w:r w:rsidRPr="00DA15EB">
        <w:rPr>
          <w:rFonts w:eastAsia="Times New Roman" w:cstheme="minorHAnsi"/>
          <w:color w:val="000000"/>
          <w:kern w:val="0"/>
          <w14:ligatures w14:val="none"/>
        </w:rPr>
        <w:t>nclude</w:t>
      </w:r>
      <w:proofErr w:type="spellEnd"/>
      <w:r w:rsidRPr="00DA15EB">
        <w:rPr>
          <w:rFonts w:eastAsia="Times New Roman" w:cstheme="minorHAnsi"/>
          <w:color w:val="000000"/>
          <w:kern w:val="0"/>
          <w14:ligatures w14:val="none"/>
        </w:rPr>
        <w:t xml:space="preserve"> Pediatrics-Neurology, Pediatrics-Neurodevelopmental Disabilities (NDD), Allergy-Immunology, Accelerated Research Pathway (ARP), and Integrated Research Pathway (IRP). </w:t>
      </w:r>
    </w:p>
    <w:p w14:paraId="014D10D5" w14:textId="77777777" w:rsidR="00431BF8" w:rsidRPr="00DA15EB" w:rsidRDefault="00431BF8" w:rsidP="00431BF8">
      <w:pPr>
        <w:numPr>
          <w:ilvl w:val="0"/>
          <w:numId w:val="3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Pediatrics-Neurology</w:t>
      </w:r>
    </w:p>
    <w:p w14:paraId="048B70A8" w14:textId="3E090063" w:rsidR="00431BF8" w:rsidRPr="00DA15EB" w:rsidRDefault="00431BF8" w:rsidP="00431BF8">
      <w:pPr>
        <w:numPr>
          <w:ilvl w:val="1"/>
          <w:numId w:val="34"/>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Trainees in this program complete two years of pediatric residency followed by three years of neurology/child neurology and </w:t>
      </w:r>
      <w:r w:rsidR="003476BA">
        <w:rPr>
          <w:rFonts w:eastAsia="Times New Roman" w:cstheme="minorHAnsi"/>
          <w:color w:val="000000"/>
          <w:kern w:val="0"/>
          <w14:ligatures w14:val="none"/>
        </w:rPr>
        <w:t>are</w:t>
      </w:r>
      <w:r w:rsidR="003476BA" w:rsidRPr="00DA15EB">
        <w:rPr>
          <w:rFonts w:eastAsia="Times New Roman" w:cstheme="minorHAnsi"/>
          <w:color w:val="000000"/>
          <w:kern w:val="0"/>
          <w14:ligatures w14:val="none"/>
        </w:rPr>
        <w:t xml:space="preserve"> </w:t>
      </w:r>
      <w:r w:rsidRPr="00DA15EB">
        <w:rPr>
          <w:rFonts w:eastAsia="Times New Roman" w:cstheme="minorHAnsi"/>
          <w:color w:val="000000"/>
          <w:kern w:val="0"/>
          <w14:ligatures w14:val="none"/>
        </w:rPr>
        <w:t>then board</w:t>
      </w:r>
      <w:r w:rsidR="003476BA">
        <w:rPr>
          <w:rFonts w:eastAsia="Times New Roman" w:cstheme="minorHAnsi"/>
          <w:color w:val="000000"/>
          <w:kern w:val="0"/>
          <w14:ligatures w14:val="none"/>
        </w:rPr>
        <w:t>-eligible</w:t>
      </w:r>
      <w:r w:rsidRPr="00DA15EB">
        <w:rPr>
          <w:rFonts w:eastAsia="Times New Roman" w:cstheme="minorHAnsi"/>
          <w:color w:val="000000"/>
          <w:kern w:val="0"/>
          <w14:ligatures w14:val="none"/>
        </w:rPr>
        <w:t xml:space="preserve"> in </w:t>
      </w:r>
      <w:r w:rsidR="003476BA">
        <w:rPr>
          <w:rFonts w:eastAsia="Times New Roman" w:cstheme="minorHAnsi"/>
          <w:color w:val="000000"/>
          <w:kern w:val="0"/>
          <w14:ligatures w14:val="none"/>
        </w:rPr>
        <w:t xml:space="preserve">both </w:t>
      </w:r>
      <w:r w:rsidRPr="00DA15EB">
        <w:rPr>
          <w:rFonts w:eastAsia="Times New Roman" w:cstheme="minorHAnsi"/>
          <w:color w:val="000000"/>
          <w:kern w:val="0"/>
          <w14:ligatures w14:val="none"/>
        </w:rPr>
        <w:t xml:space="preserve">pediatrics and child </w:t>
      </w:r>
      <w:proofErr w:type="gramStart"/>
      <w:r w:rsidRPr="00DA15EB">
        <w:rPr>
          <w:rFonts w:eastAsia="Times New Roman" w:cstheme="minorHAnsi"/>
          <w:color w:val="000000"/>
          <w:kern w:val="0"/>
          <w14:ligatures w14:val="none"/>
        </w:rPr>
        <w:t>neurology</w:t>
      </w:r>
      <w:proofErr w:type="gramEnd"/>
    </w:p>
    <w:p w14:paraId="746D9620" w14:textId="77777777" w:rsidR="00431BF8" w:rsidRPr="00DA15EB" w:rsidRDefault="00431BF8" w:rsidP="00431BF8">
      <w:pPr>
        <w:numPr>
          <w:ilvl w:val="1"/>
          <w:numId w:val="35"/>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The ABP requirements list the rotations that must be completed during the two years of pediatric training (</w:t>
      </w:r>
      <w:hyperlink r:id="rId6" w:history="1">
        <w:r w:rsidRPr="00DA15EB">
          <w:rPr>
            <w:rFonts w:eastAsia="Times New Roman" w:cstheme="minorHAnsi"/>
            <w:color w:val="1155CC"/>
            <w:kern w:val="0"/>
            <w:u w:val="single"/>
            <w14:ligatures w14:val="none"/>
          </w:rPr>
          <w:t>https://www.abp.org/content/pediatrics-neurology</w:t>
        </w:r>
      </w:hyperlink>
      <w:r w:rsidRPr="00DA15EB">
        <w:rPr>
          <w:rFonts w:eastAsia="Times New Roman" w:cstheme="minorHAnsi"/>
          <w:color w:val="000000"/>
          <w:kern w:val="0"/>
          <w14:ligatures w14:val="none"/>
        </w:rPr>
        <w:t>)</w:t>
      </w:r>
    </w:p>
    <w:p w14:paraId="2B253EB4" w14:textId="77777777" w:rsidR="00431BF8" w:rsidRPr="00DA15EB" w:rsidRDefault="00431BF8" w:rsidP="00431BF8">
      <w:pPr>
        <w:numPr>
          <w:ilvl w:val="1"/>
          <w:numId w:val="3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Candidates for this pathway must be identified early, preferably early in R1, but no later than the end of the R1 year</w:t>
      </w:r>
    </w:p>
    <w:p w14:paraId="4EE33EDB" w14:textId="77777777" w:rsidR="00431BF8" w:rsidRPr="00DA15EB" w:rsidRDefault="00431BF8" w:rsidP="00431BF8">
      <w:pPr>
        <w:numPr>
          <w:ilvl w:val="1"/>
          <w:numId w:val="37"/>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To meet eligibility, residents must satisfactorily complete two years of pediatric residency with verification by the program director and take no more than two months of vacation in two years. Residents on this pathway are not eligible to sit for the pediatric boards until all training in general pediatrics and child neurology are complete.</w:t>
      </w:r>
    </w:p>
    <w:p w14:paraId="7EEF2BA0" w14:textId="3BBB683D" w:rsidR="00431BF8" w:rsidRPr="00DA15EB" w:rsidRDefault="00431BF8" w:rsidP="00431BF8">
      <w:pPr>
        <w:numPr>
          <w:ilvl w:val="0"/>
          <w:numId w:val="3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Pediatrics-N</w:t>
      </w:r>
      <w:r w:rsidR="003476BA">
        <w:rPr>
          <w:rFonts w:eastAsia="Times New Roman" w:cstheme="minorHAnsi"/>
          <w:color w:val="000000"/>
          <w:kern w:val="0"/>
          <w14:ligatures w14:val="none"/>
        </w:rPr>
        <w:t>eurodevelopmental Disabilities (N</w:t>
      </w:r>
      <w:r w:rsidRPr="00DA15EB">
        <w:rPr>
          <w:rFonts w:eastAsia="Times New Roman" w:cstheme="minorHAnsi"/>
          <w:color w:val="000000"/>
          <w:kern w:val="0"/>
          <w14:ligatures w14:val="none"/>
        </w:rPr>
        <w:t>DD</w:t>
      </w:r>
      <w:r w:rsidR="003476BA">
        <w:rPr>
          <w:rFonts w:eastAsia="Times New Roman" w:cstheme="minorHAnsi"/>
          <w:color w:val="000000"/>
          <w:kern w:val="0"/>
          <w14:ligatures w14:val="none"/>
        </w:rPr>
        <w:t>)</w:t>
      </w:r>
    </w:p>
    <w:p w14:paraId="386991AF" w14:textId="77777777" w:rsidR="00431BF8" w:rsidRPr="00DA15EB" w:rsidRDefault="00431BF8" w:rsidP="00431BF8">
      <w:pPr>
        <w:numPr>
          <w:ilvl w:val="1"/>
          <w:numId w:val="38"/>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Trainees in this program complete two years of pediatric residency followed by four years of child neurology/neurodevelopmental disabilities and can then be board certified in pediatrics and NDD</w:t>
      </w:r>
    </w:p>
    <w:p w14:paraId="3091A2DA" w14:textId="6A4B033F" w:rsidR="00431BF8" w:rsidRPr="00DA15EB" w:rsidRDefault="00431BF8" w:rsidP="00DA15EB">
      <w:pPr>
        <w:numPr>
          <w:ilvl w:val="1"/>
          <w:numId w:val="39"/>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The ABP lists the rotations that must be completed during the two years of pediatric training</w:t>
      </w:r>
      <w:r w:rsidR="003476BA">
        <w:rPr>
          <w:rFonts w:cstheme="minorHAnsi"/>
        </w:rPr>
        <w:t xml:space="preserve"> (</w:t>
      </w:r>
      <w:hyperlink r:id="rId7" w:history="1">
        <w:r w:rsidR="003476BA" w:rsidRPr="00DA15EB">
          <w:rPr>
            <w:rStyle w:val="Hyperlink"/>
            <w:rFonts w:cstheme="minorHAnsi"/>
          </w:rPr>
          <w:t>https://www.abp.org/content/pediatrics-neurodevelopmental-disabilities-pathway</w:t>
        </w:r>
      </w:hyperlink>
      <w:r w:rsidRPr="00DA15EB">
        <w:rPr>
          <w:rFonts w:eastAsia="Times New Roman" w:cstheme="minorHAnsi"/>
          <w:color w:val="000000"/>
          <w:kern w:val="0"/>
          <w14:ligatures w14:val="none"/>
        </w:rPr>
        <w:t>)</w:t>
      </w:r>
    </w:p>
    <w:p w14:paraId="5E214F73" w14:textId="77777777" w:rsidR="00431BF8" w:rsidRPr="00DA15EB" w:rsidRDefault="00431BF8" w:rsidP="00431BF8">
      <w:pPr>
        <w:numPr>
          <w:ilvl w:val="1"/>
          <w:numId w:val="4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Candidates for this pathway must be identified early, preferably early in R1, but no later than the end of the R1 year</w:t>
      </w:r>
    </w:p>
    <w:p w14:paraId="3EF1C8D7" w14:textId="77777777" w:rsidR="00431BF8" w:rsidRPr="00DA15EB" w:rsidRDefault="00431BF8" w:rsidP="00431BF8">
      <w:pPr>
        <w:numPr>
          <w:ilvl w:val="1"/>
          <w:numId w:val="42"/>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To meet eligibility, residents must satisfactorily complete two years of pediatric residency with verification by the program director and take no more than two </w:t>
      </w:r>
      <w:r w:rsidRPr="00DA15EB">
        <w:rPr>
          <w:rFonts w:eastAsia="Times New Roman" w:cstheme="minorHAnsi"/>
          <w:color w:val="000000"/>
          <w:kern w:val="0"/>
          <w14:ligatures w14:val="none"/>
        </w:rPr>
        <w:lastRenderedPageBreak/>
        <w:t>months of vacation in two years. Residents on this pathway may sit for pediatric boards after the two years of pediatric residency and three years of neurodevelopmental disability training are complete</w:t>
      </w:r>
    </w:p>
    <w:p w14:paraId="5CB2C6AE" w14:textId="77FE3292" w:rsidR="00431BF8" w:rsidRPr="00DA15EB" w:rsidRDefault="00431BF8" w:rsidP="00431BF8">
      <w:pPr>
        <w:numPr>
          <w:ilvl w:val="0"/>
          <w:numId w:val="3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A</w:t>
      </w:r>
      <w:r w:rsidR="003476BA">
        <w:rPr>
          <w:rFonts w:eastAsia="Times New Roman" w:cstheme="minorHAnsi"/>
          <w:color w:val="000000"/>
          <w:kern w:val="0"/>
          <w14:ligatures w14:val="none"/>
        </w:rPr>
        <w:t xml:space="preserve">ccelerated </w:t>
      </w:r>
      <w:r w:rsidRPr="00DA15EB">
        <w:rPr>
          <w:rFonts w:eastAsia="Times New Roman" w:cstheme="minorHAnsi"/>
          <w:color w:val="000000"/>
          <w:kern w:val="0"/>
          <w14:ligatures w14:val="none"/>
        </w:rPr>
        <w:t>R</w:t>
      </w:r>
      <w:r w:rsidR="003476BA">
        <w:rPr>
          <w:rFonts w:eastAsia="Times New Roman" w:cstheme="minorHAnsi"/>
          <w:color w:val="000000"/>
          <w:kern w:val="0"/>
          <w14:ligatures w14:val="none"/>
        </w:rPr>
        <w:t xml:space="preserve">esearch </w:t>
      </w:r>
      <w:r w:rsidRPr="00DA15EB">
        <w:rPr>
          <w:rFonts w:eastAsia="Times New Roman" w:cstheme="minorHAnsi"/>
          <w:color w:val="000000"/>
          <w:kern w:val="0"/>
          <w14:ligatures w14:val="none"/>
        </w:rPr>
        <w:t>P</w:t>
      </w:r>
      <w:r w:rsidR="003476BA">
        <w:rPr>
          <w:rFonts w:eastAsia="Times New Roman" w:cstheme="minorHAnsi"/>
          <w:color w:val="000000"/>
          <w:kern w:val="0"/>
          <w14:ligatures w14:val="none"/>
        </w:rPr>
        <w:t>athway (ARP)</w:t>
      </w:r>
    </w:p>
    <w:p w14:paraId="517CF49A" w14:textId="77777777" w:rsidR="00431BF8" w:rsidRPr="00DA15EB" w:rsidRDefault="00431BF8" w:rsidP="00431BF8">
      <w:pPr>
        <w:numPr>
          <w:ilvl w:val="1"/>
          <w:numId w:val="4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The ARP is designed to accommodate and encourage candidates who are committed to an academic career as physician scientists with a strong research emphasis in a pediatric subspecialty. </w:t>
      </w:r>
    </w:p>
    <w:p w14:paraId="41C0874B" w14:textId="5E0352DD" w:rsidR="00431BF8" w:rsidRPr="00DA15EB" w:rsidRDefault="00431BF8" w:rsidP="00431BF8">
      <w:pPr>
        <w:numPr>
          <w:ilvl w:val="1"/>
          <w:numId w:val="44"/>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Candidates will spend two years completing general pediatric residency training before going into a minimum of four year</w:t>
      </w:r>
      <w:r w:rsidR="003476BA">
        <w:rPr>
          <w:rFonts w:eastAsia="Times New Roman" w:cstheme="minorHAnsi"/>
          <w:color w:val="000000"/>
          <w:kern w:val="0"/>
          <w14:ligatures w14:val="none"/>
        </w:rPr>
        <w:t>s of</w:t>
      </w:r>
      <w:r w:rsidRPr="00DA15EB">
        <w:rPr>
          <w:rFonts w:eastAsia="Times New Roman" w:cstheme="minorHAnsi"/>
          <w:color w:val="000000"/>
          <w:kern w:val="0"/>
          <w14:ligatures w14:val="none"/>
        </w:rPr>
        <w:t xml:space="preserve"> fellowship</w:t>
      </w:r>
    </w:p>
    <w:p w14:paraId="12132FCD" w14:textId="5AC87F65" w:rsidR="00431BF8" w:rsidRPr="00DA15EB" w:rsidRDefault="00431BF8" w:rsidP="00431BF8">
      <w:pPr>
        <w:numPr>
          <w:ilvl w:val="1"/>
          <w:numId w:val="45"/>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It is not a requirement that residency and fellowship take place at the same institution, but it may be advantageous to do </w:t>
      </w:r>
      <w:proofErr w:type="gramStart"/>
      <w:r w:rsidRPr="00DA15EB">
        <w:rPr>
          <w:rFonts w:eastAsia="Times New Roman" w:cstheme="minorHAnsi"/>
          <w:color w:val="000000"/>
          <w:kern w:val="0"/>
          <w14:ligatures w14:val="none"/>
        </w:rPr>
        <w:t>so</w:t>
      </w:r>
      <w:proofErr w:type="gramEnd"/>
    </w:p>
    <w:p w14:paraId="051D8000" w14:textId="77777777" w:rsidR="00431BF8" w:rsidRPr="00DA15EB" w:rsidRDefault="00431BF8" w:rsidP="00431BF8">
      <w:pPr>
        <w:numPr>
          <w:ilvl w:val="1"/>
          <w:numId w:val="46"/>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The ABP lists the rotations that must be completed during the two years of pediatric training. </w:t>
      </w:r>
      <w:hyperlink r:id="rId8" w:history="1">
        <w:r w:rsidRPr="00DA15EB">
          <w:rPr>
            <w:rFonts w:eastAsia="Times New Roman" w:cstheme="minorHAnsi"/>
            <w:color w:val="1155CC"/>
            <w:kern w:val="0"/>
            <w:u w:val="single"/>
            <w14:ligatures w14:val="none"/>
          </w:rPr>
          <w:t>https://www.abp.org/content/accelerated-research-pathway-arp-details</w:t>
        </w:r>
      </w:hyperlink>
    </w:p>
    <w:p w14:paraId="57C44023" w14:textId="58CC3B07" w:rsidR="00431BF8" w:rsidRPr="00DA15EB" w:rsidRDefault="00431BF8" w:rsidP="00431BF8">
      <w:pPr>
        <w:numPr>
          <w:ilvl w:val="1"/>
          <w:numId w:val="47"/>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Candidates should be identified early, but no later than 9 months into the R1 </w:t>
      </w:r>
      <w:proofErr w:type="gramStart"/>
      <w:r w:rsidRPr="00DA15EB">
        <w:rPr>
          <w:rFonts w:eastAsia="Times New Roman" w:cstheme="minorHAnsi"/>
          <w:color w:val="000000"/>
          <w:kern w:val="0"/>
          <w14:ligatures w14:val="none"/>
        </w:rPr>
        <w:t>year</w:t>
      </w:r>
      <w:proofErr w:type="gramEnd"/>
    </w:p>
    <w:p w14:paraId="1EDD6B23" w14:textId="77777777" w:rsidR="00431BF8" w:rsidRPr="00DA15EB" w:rsidRDefault="00431BF8" w:rsidP="00431BF8">
      <w:pPr>
        <w:numPr>
          <w:ilvl w:val="1"/>
          <w:numId w:val="48"/>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The program director and candidate are not required to receive approval from the ABP, but must notify them by May of the R1 year through the Program Portal</w:t>
      </w:r>
    </w:p>
    <w:p w14:paraId="2F63F130" w14:textId="77777777" w:rsidR="00431BF8" w:rsidRPr="00DA15EB" w:rsidRDefault="00431BF8" w:rsidP="00431BF8">
      <w:pPr>
        <w:numPr>
          <w:ilvl w:val="1"/>
          <w:numId w:val="49"/>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Residents are eligible to take the pediatric boards after successful completion of their two years of pediatric residency and the first year of clinical fellowship, and competency must be verified by the pediatric residency program director as well as the program director of the subspecialty fellowship</w:t>
      </w:r>
    </w:p>
    <w:p w14:paraId="28287F41" w14:textId="6F210437" w:rsidR="00431BF8" w:rsidRPr="00DA15EB" w:rsidRDefault="00D3133F" w:rsidP="00431BF8">
      <w:pPr>
        <w:numPr>
          <w:ilvl w:val="0"/>
          <w:numId w:val="33"/>
        </w:numPr>
        <w:textAlignment w:val="baseline"/>
        <w:rPr>
          <w:rFonts w:eastAsia="Times New Roman" w:cstheme="minorHAnsi"/>
          <w:color w:val="000000"/>
          <w:kern w:val="0"/>
          <w14:ligatures w14:val="none"/>
        </w:rPr>
      </w:pPr>
      <w:r>
        <w:rPr>
          <w:rFonts w:eastAsia="Times New Roman" w:cstheme="minorHAnsi"/>
          <w:color w:val="000000"/>
          <w:kern w:val="0"/>
          <w14:ligatures w14:val="none"/>
        </w:rPr>
        <w:t>Integrated Research Pathway (</w:t>
      </w:r>
      <w:r w:rsidR="00431BF8" w:rsidRPr="00DA15EB">
        <w:rPr>
          <w:rFonts w:eastAsia="Times New Roman" w:cstheme="minorHAnsi"/>
          <w:color w:val="000000"/>
          <w:kern w:val="0"/>
          <w14:ligatures w14:val="none"/>
        </w:rPr>
        <w:t>IRP</w:t>
      </w:r>
      <w:r>
        <w:rPr>
          <w:rFonts w:eastAsia="Times New Roman" w:cstheme="minorHAnsi"/>
          <w:color w:val="000000"/>
          <w:kern w:val="0"/>
          <w14:ligatures w14:val="none"/>
        </w:rPr>
        <w:t>)</w:t>
      </w:r>
    </w:p>
    <w:p w14:paraId="34A698A9" w14:textId="353E8527" w:rsidR="00431BF8" w:rsidRPr="00DA15EB" w:rsidRDefault="00431BF8" w:rsidP="00431BF8">
      <w:pPr>
        <w:numPr>
          <w:ilvl w:val="1"/>
          <w:numId w:val="50"/>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The objectives of the IRP are to attract committed young physician-scientists to pediatrics, provide mechanisms to sustain research, offer a means for fostering transition to a physician scientist career, and ensure that trainees accomplish requisite training needed to function as competent </w:t>
      </w:r>
      <w:proofErr w:type="gramStart"/>
      <w:r w:rsidRPr="00DA15EB">
        <w:rPr>
          <w:rFonts w:eastAsia="Times New Roman" w:cstheme="minorHAnsi"/>
          <w:color w:val="000000"/>
          <w:kern w:val="0"/>
          <w14:ligatures w14:val="none"/>
        </w:rPr>
        <w:t>pediatricians</w:t>
      </w:r>
      <w:proofErr w:type="gramEnd"/>
    </w:p>
    <w:p w14:paraId="763B6023" w14:textId="066FB4DB" w:rsidR="00431BF8" w:rsidRPr="00DA15EB" w:rsidRDefault="00431BF8" w:rsidP="00431BF8">
      <w:pPr>
        <w:numPr>
          <w:ilvl w:val="1"/>
          <w:numId w:val="51"/>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Individuals may apply for this pathway through the ABP Program Portal either before starting residency or within the first nine months of the R1 year. Petitions from program directors will provide an outline of the proposed training to be reviewed. The pathway is open to individuals with MD/PhD degrees or other</w:t>
      </w:r>
      <w:r w:rsidR="003476BA">
        <w:rPr>
          <w:rFonts w:eastAsia="Times New Roman" w:cstheme="minorHAnsi"/>
          <w:color w:val="000000"/>
          <w:kern w:val="0"/>
          <w14:ligatures w14:val="none"/>
        </w:rPr>
        <w:t>s</w:t>
      </w:r>
      <w:r w:rsidRPr="00DA15EB">
        <w:rPr>
          <w:rFonts w:eastAsia="Times New Roman" w:cstheme="minorHAnsi"/>
          <w:color w:val="000000"/>
          <w:kern w:val="0"/>
          <w14:ligatures w14:val="none"/>
        </w:rPr>
        <w:t xml:space="preserve"> who can demonstrate equivalent evidence of research experience and commitment.</w:t>
      </w:r>
    </w:p>
    <w:p w14:paraId="5EE40943" w14:textId="77777777" w:rsidR="00431BF8" w:rsidRPr="00DA15EB" w:rsidRDefault="00431BF8" w:rsidP="00431BF8">
      <w:pPr>
        <w:numPr>
          <w:ilvl w:val="1"/>
          <w:numId w:val="52"/>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 xml:space="preserve">The ABP lists the rotations that must be completed during the two years of pediatric training. </w:t>
      </w:r>
      <w:hyperlink r:id="rId9" w:history="1">
        <w:r w:rsidRPr="00DA15EB">
          <w:rPr>
            <w:rFonts w:eastAsia="Times New Roman" w:cstheme="minorHAnsi"/>
            <w:color w:val="1155CC"/>
            <w:kern w:val="0"/>
            <w:u w:val="single"/>
            <w14:ligatures w14:val="none"/>
          </w:rPr>
          <w:t>https://www.abp.org/content/integrated-research-pathway-irp</w:t>
        </w:r>
      </w:hyperlink>
    </w:p>
    <w:p w14:paraId="6D44346A" w14:textId="65C81536" w:rsidR="00431BF8" w:rsidRPr="00DA15EB" w:rsidRDefault="00431BF8" w:rsidP="00431BF8">
      <w:pPr>
        <w:numPr>
          <w:ilvl w:val="1"/>
          <w:numId w:val="53"/>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t>Residents are eligible to take the pediatric boards after successful completion of three years of residency and one year of pediatric clinical experience in either an ACGME</w:t>
      </w:r>
      <w:r w:rsidR="003476BA">
        <w:rPr>
          <w:rFonts w:eastAsia="Times New Roman" w:cstheme="minorHAnsi"/>
          <w:color w:val="000000"/>
          <w:kern w:val="0"/>
          <w14:ligatures w14:val="none"/>
        </w:rPr>
        <w:t>-</w:t>
      </w:r>
      <w:r w:rsidRPr="00DA15EB">
        <w:rPr>
          <w:rFonts w:eastAsia="Times New Roman" w:cstheme="minorHAnsi"/>
          <w:color w:val="000000"/>
          <w:kern w:val="0"/>
          <w14:ligatures w14:val="none"/>
        </w:rPr>
        <w:t xml:space="preserve">accredited specialty residency </w:t>
      </w:r>
      <w:r w:rsidR="003476BA">
        <w:rPr>
          <w:rFonts w:eastAsia="Times New Roman" w:cstheme="minorHAnsi"/>
          <w:color w:val="000000"/>
          <w:kern w:val="0"/>
          <w14:ligatures w14:val="none"/>
        </w:rPr>
        <w:t>or</w:t>
      </w:r>
      <w:r w:rsidR="003476BA" w:rsidRPr="00DA15EB">
        <w:rPr>
          <w:rFonts w:eastAsia="Times New Roman" w:cstheme="minorHAnsi"/>
          <w:color w:val="000000"/>
          <w:kern w:val="0"/>
          <w14:ligatures w14:val="none"/>
        </w:rPr>
        <w:t xml:space="preserve"> </w:t>
      </w:r>
      <w:r w:rsidRPr="00DA15EB">
        <w:rPr>
          <w:rFonts w:eastAsia="Times New Roman" w:cstheme="minorHAnsi"/>
          <w:color w:val="000000"/>
          <w:kern w:val="0"/>
          <w14:ligatures w14:val="none"/>
        </w:rPr>
        <w:t>subspecialty fellowship related to the care of children and approved by the ABP.</w:t>
      </w:r>
    </w:p>
    <w:p w14:paraId="6C9BC7FB" w14:textId="77777777" w:rsidR="00431BF8" w:rsidRPr="00431BF8" w:rsidRDefault="00431BF8" w:rsidP="00431BF8">
      <w:pPr>
        <w:rPr>
          <w:rFonts w:ascii="Times New Roman" w:eastAsia="Times New Roman" w:hAnsi="Times New Roman" w:cs="Times New Roman"/>
          <w:color w:val="000000"/>
          <w:kern w:val="0"/>
          <w14:ligatures w14:val="none"/>
        </w:rPr>
      </w:pPr>
    </w:p>
    <w:p w14:paraId="2F53E398" w14:textId="47E2A257" w:rsidR="00431BF8" w:rsidRPr="00DA15EB" w:rsidRDefault="00431BF8" w:rsidP="00431BF8">
      <w:pPr>
        <w:rPr>
          <w:rFonts w:ascii="Cambria" w:eastAsia="Times New Roman" w:hAnsi="Cambria" w:cs="Times New Roman"/>
          <w:color w:val="0070C0"/>
          <w:kern w:val="0"/>
          <w:sz w:val="28"/>
          <w:szCs w:val="28"/>
          <w14:ligatures w14:val="none"/>
        </w:rPr>
      </w:pPr>
      <w:r w:rsidRPr="00DA15EB">
        <w:rPr>
          <w:rFonts w:ascii="Cambria" w:eastAsia="Times New Roman" w:hAnsi="Cambria" w:cs="Times New Roman"/>
          <w:color w:val="0070C0"/>
          <w:kern w:val="0"/>
          <w:sz w:val="28"/>
          <w:szCs w:val="28"/>
          <w14:ligatures w14:val="none"/>
        </w:rPr>
        <w:t>References</w:t>
      </w:r>
    </w:p>
    <w:p w14:paraId="66F9544B" w14:textId="77777777" w:rsidR="003476BA" w:rsidRDefault="003476BA" w:rsidP="00DA15EB">
      <w:pPr>
        <w:ind w:left="720"/>
        <w:textAlignment w:val="baseline"/>
        <w:rPr>
          <w:rFonts w:eastAsia="Times New Roman" w:cstheme="minorHAnsi"/>
          <w:color w:val="000000"/>
          <w:kern w:val="0"/>
          <w14:ligatures w14:val="none"/>
        </w:rPr>
      </w:pPr>
    </w:p>
    <w:p w14:paraId="404EF7FD" w14:textId="1D566DA2" w:rsidR="00431BF8" w:rsidRPr="00DA15EB" w:rsidRDefault="00431BF8" w:rsidP="00431BF8">
      <w:pPr>
        <w:numPr>
          <w:ilvl w:val="0"/>
          <w:numId w:val="54"/>
        </w:numPr>
        <w:textAlignment w:val="baseline"/>
        <w:rPr>
          <w:rFonts w:eastAsia="Times New Roman" w:cstheme="minorHAnsi"/>
          <w:color w:val="000000"/>
          <w:kern w:val="0"/>
          <w14:ligatures w14:val="none"/>
        </w:rPr>
      </w:pPr>
      <w:r w:rsidRPr="00DA15EB">
        <w:rPr>
          <w:rFonts w:eastAsia="Times New Roman" w:cstheme="minorHAnsi"/>
          <w:color w:val="000000"/>
          <w:kern w:val="0"/>
          <w14:ligatures w14:val="none"/>
        </w:rPr>
        <w:lastRenderedPageBreak/>
        <w:t>ACGME Pediatric Requirements</w:t>
      </w:r>
      <w:r w:rsidR="003476BA">
        <w:rPr>
          <w:rFonts w:eastAsia="Times New Roman" w:cstheme="minorHAnsi"/>
          <w:color w:val="000000"/>
          <w:kern w:val="0"/>
          <w14:ligatures w14:val="none"/>
        </w:rPr>
        <w:t xml:space="preserve"> (</w:t>
      </w:r>
      <w:hyperlink r:id="rId10" w:history="1">
        <w:r w:rsidR="003476BA" w:rsidRPr="00D24513">
          <w:rPr>
            <w:rStyle w:val="Hyperlink"/>
            <w:rFonts w:eastAsia="Times New Roman" w:cstheme="minorHAnsi"/>
            <w:kern w:val="0"/>
            <w14:ligatures w14:val="none"/>
          </w:rPr>
          <w:t>https://www.acgme.org/globalassets/pfassets/programrequirements/2025-prs/320_pediatrics_2025.pdf</w:t>
        </w:r>
      </w:hyperlink>
      <w:r w:rsidR="003476BA">
        <w:rPr>
          <w:rFonts w:eastAsia="Times New Roman" w:cstheme="minorHAnsi"/>
          <w:color w:val="000000"/>
          <w:kern w:val="0"/>
          <w14:ligatures w14:val="none"/>
        </w:rPr>
        <w:t xml:space="preserve">) </w:t>
      </w:r>
    </w:p>
    <w:p w14:paraId="308C8079" w14:textId="77777777" w:rsidR="00431BF8" w:rsidRPr="00DA15EB" w:rsidRDefault="00431BF8" w:rsidP="00431BF8">
      <w:pPr>
        <w:numPr>
          <w:ilvl w:val="0"/>
          <w:numId w:val="54"/>
        </w:numPr>
        <w:textAlignment w:val="baseline"/>
        <w:rPr>
          <w:rFonts w:eastAsia="Times New Roman" w:cstheme="minorHAnsi"/>
          <w:color w:val="000000"/>
          <w:kern w:val="0"/>
          <w14:ligatures w14:val="none"/>
        </w:rPr>
      </w:pPr>
      <w:r w:rsidRPr="00DA15EB">
        <w:rPr>
          <w:rFonts w:eastAsia="Times New Roman" w:cstheme="minorHAnsi"/>
          <w:color w:val="222222"/>
          <w:kern w:val="0"/>
          <w:shd w:val="clear" w:color="auto" w:fill="FFFFFF"/>
          <w14:ligatures w14:val="none"/>
        </w:rPr>
        <w:t xml:space="preserve">ABP: Non-Standard Pathways and Combined Programs </w:t>
      </w:r>
      <w:hyperlink r:id="rId11" w:history="1">
        <w:r w:rsidRPr="00DA15EB">
          <w:rPr>
            <w:rFonts w:eastAsia="Times New Roman" w:cstheme="minorHAnsi"/>
            <w:color w:val="1155CC"/>
            <w:kern w:val="0"/>
            <w:u w:val="single"/>
            <w:shd w:val="clear" w:color="auto" w:fill="FFFFFF"/>
            <w14:ligatures w14:val="none"/>
          </w:rPr>
          <w:t>https://www.abp.org/content/non-standard-pathways-and-combined-programs</w:t>
        </w:r>
      </w:hyperlink>
    </w:p>
    <w:p w14:paraId="19297A73" w14:textId="77777777" w:rsidR="00431BF8" w:rsidRPr="00DA15EB" w:rsidRDefault="00431BF8" w:rsidP="00431BF8">
      <w:pPr>
        <w:numPr>
          <w:ilvl w:val="0"/>
          <w:numId w:val="54"/>
        </w:numPr>
        <w:textAlignment w:val="baseline"/>
        <w:rPr>
          <w:rFonts w:eastAsia="Times New Roman" w:cstheme="minorHAnsi"/>
          <w:color w:val="222222"/>
          <w:kern w:val="0"/>
          <w14:ligatures w14:val="none"/>
        </w:rPr>
      </w:pPr>
      <w:r w:rsidRPr="00DA15EB">
        <w:rPr>
          <w:rFonts w:eastAsia="Times New Roman" w:cstheme="minorHAnsi"/>
          <w:color w:val="222222"/>
          <w:kern w:val="0"/>
          <w:shd w:val="clear" w:color="auto" w:fill="FFFFFF"/>
          <w14:ligatures w14:val="none"/>
        </w:rPr>
        <w:t xml:space="preserve">Myers, Ross E., et al. "Three years of X+ Y scheduling: longitudinal assessment of resident and faculty perceptions." </w:t>
      </w:r>
      <w:r w:rsidRPr="00DA15EB">
        <w:rPr>
          <w:rFonts w:eastAsia="Times New Roman" w:cstheme="minorHAnsi"/>
          <w:i/>
          <w:iCs/>
          <w:color w:val="222222"/>
          <w:kern w:val="0"/>
          <w:shd w:val="clear" w:color="auto" w:fill="FFFFFF"/>
          <w14:ligatures w14:val="none"/>
        </w:rPr>
        <w:t>Academic pediatrics</w:t>
      </w:r>
      <w:r w:rsidRPr="00DA15EB">
        <w:rPr>
          <w:rFonts w:eastAsia="Times New Roman" w:cstheme="minorHAnsi"/>
          <w:color w:val="222222"/>
          <w:kern w:val="0"/>
          <w:shd w:val="clear" w:color="auto" w:fill="FFFFFF"/>
          <w14:ligatures w14:val="none"/>
        </w:rPr>
        <w:t xml:space="preserve"> 22.7 (2022): 1097-1104.</w:t>
      </w:r>
    </w:p>
    <w:p w14:paraId="674B551B" w14:textId="77777777" w:rsidR="00431BF8" w:rsidRPr="00DA15EB" w:rsidRDefault="00431BF8" w:rsidP="00431BF8">
      <w:pPr>
        <w:numPr>
          <w:ilvl w:val="0"/>
          <w:numId w:val="54"/>
        </w:numPr>
        <w:textAlignment w:val="baseline"/>
        <w:rPr>
          <w:rFonts w:eastAsia="Times New Roman" w:cstheme="minorHAnsi"/>
          <w:color w:val="222222"/>
          <w:kern w:val="0"/>
          <w14:ligatures w14:val="none"/>
        </w:rPr>
      </w:pPr>
      <w:r w:rsidRPr="00DA15EB">
        <w:rPr>
          <w:rFonts w:eastAsia="Times New Roman" w:cstheme="minorHAnsi"/>
          <w:color w:val="222222"/>
          <w:kern w:val="0"/>
          <w:shd w:val="clear" w:color="auto" w:fill="FFFFFF"/>
          <w14:ligatures w14:val="none"/>
        </w:rPr>
        <w:t xml:space="preserve">Myers, Ross E., et al. "Impact of X+ Y scheduling on pediatric resident and faculty perceptions of education and patient care." </w:t>
      </w:r>
      <w:r w:rsidRPr="00DA15EB">
        <w:rPr>
          <w:rFonts w:eastAsia="Times New Roman" w:cstheme="minorHAnsi"/>
          <w:i/>
          <w:iCs/>
          <w:color w:val="222222"/>
          <w:kern w:val="0"/>
          <w:shd w:val="clear" w:color="auto" w:fill="FFFFFF"/>
          <w14:ligatures w14:val="none"/>
        </w:rPr>
        <w:t>Academic pediatrics</w:t>
      </w:r>
      <w:r w:rsidRPr="00DA15EB">
        <w:rPr>
          <w:rFonts w:eastAsia="Times New Roman" w:cstheme="minorHAnsi"/>
          <w:color w:val="222222"/>
          <w:kern w:val="0"/>
          <w:shd w:val="clear" w:color="auto" w:fill="FFFFFF"/>
          <w14:ligatures w14:val="none"/>
        </w:rPr>
        <w:t xml:space="preserve"> 21.7 (2021): 1273-1280.</w:t>
      </w:r>
    </w:p>
    <w:p w14:paraId="500CEA03" w14:textId="77777777" w:rsidR="00431BF8" w:rsidRPr="00DA15EB" w:rsidRDefault="00431BF8" w:rsidP="00431BF8">
      <w:pPr>
        <w:numPr>
          <w:ilvl w:val="0"/>
          <w:numId w:val="54"/>
        </w:numPr>
        <w:textAlignment w:val="baseline"/>
        <w:rPr>
          <w:rFonts w:eastAsia="Times New Roman" w:cstheme="minorHAnsi"/>
          <w:color w:val="222222"/>
          <w:kern w:val="0"/>
          <w14:ligatures w14:val="none"/>
        </w:rPr>
      </w:pPr>
      <w:r w:rsidRPr="00DA15EB">
        <w:rPr>
          <w:rFonts w:eastAsia="Times New Roman" w:cstheme="minorHAnsi"/>
          <w:color w:val="222222"/>
          <w:kern w:val="0"/>
          <w:shd w:val="clear" w:color="auto" w:fill="FFFFFF"/>
          <w14:ligatures w14:val="none"/>
        </w:rPr>
        <w:t xml:space="preserve">Osborn, Rachel, et al. "X+ Y scheduling in pediatric residency: continuity, handoffs, and trainee experience." </w:t>
      </w:r>
      <w:r w:rsidRPr="00DA15EB">
        <w:rPr>
          <w:rFonts w:eastAsia="Times New Roman" w:cstheme="minorHAnsi"/>
          <w:i/>
          <w:iCs/>
          <w:color w:val="222222"/>
          <w:kern w:val="0"/>
          <w14:ligatures w14:val="none"/>
        </w:rPr>
        <w:t>Academic Pediatrics</w:t>
      </w:r>
      <w:r w:rsidRPr="00DA15EB">
        <w:rPr>
          <w:rFonts w:eastAsia="Times New Roman" w:cstheme="minorHAnsi"/>
          <w:color w:val="222222"/>
          <w:kern w:val="0"/>
          <w:shd w:val="clear" w:color="auto" w:fill="FFFFFF"/>
          <w14:ligatures w14:val="none"/>
        </w:rPr>
        <w:t xml:space="preserve"> 19.5 (2019): 489-494.</w:t>
      </w:r>
    </w:p>
    <w:p w14:paraId="1A7A62F0" w14:textId="77777777" w:rsidR="00431BF8" w:rsidRPr="00DA15EB" w:rsidRDefault="00431BF8" w:rsidP="00431BF8">
      <w:pPr>
        <w:numPr>
          <w:ilvl w:val="0"/>
          <w:numId w:val="54"/>
        </w:numPr>
        <w:textAlignment w:val="baseline"/>
        <w:rPr>
          <w:rFonts w:eastAsia="Times New Roman" w:cstheme="minorHAnsi"/>
          <w:color w:val="222222"/>
          <w:kern w:val="0"/>
          <w14:ligatures w14:val="none"/>
        </w:rPr>
      </w:pPr>
      <w:r w:rsidRPr="00DA15EB">
        <w:rPr>
          <w:rFonts w:eastAsia="Times New Roman" w:cstheme="minorHAnsi"/>
          <w:color w:val="222222"/>
          <w:kern w:val="0"/>
          <w:shd w:val="clear" w:color="auto" w:fill="FFFFFF"/>
          <w14:ligatures w14:val="none"/>
        </w:rPr>
        <w:t xml:space="preserve">Stehouwer, Nathan R., et al. "The Implementation of X+ Y Scheduling in Combined Internal Medicine-Pediatrics Residency Programs: Practical Considerations for Program Leadership." </w:t>
      </w:r>
      <w:proofErr w:type="spellStart"/>
      <w:r w:rsidRPr="00DA15EB">
        <w:rPr>
          <w:rFonts w:eastAsia="Times New Roman" w:cstheme="minorHAnsi"/>
          <w:i/>
          <w:iCs/>
          <w:color w:val="222222"/>
          <w:kern w:val="0"/>
          <w:shd w:val="clear" w:color="auto" w:fill="FFFFFF"/>
          <w14:ligatures w14:val="none"/>
        </w:rPr>
        <w:t>Cureus</w:t>
      </w:r>
      <w:proofErr w:type="spellEnd"/>
      <w:r w:rsidRPr="00DA15EB">
        <w:rPr>
          <w:rFonts w:eastAsia="Times New Roman" w:cstheme="minorHAnsi"/>
          <w:color w:val="222222"/>
          <w:kern w:val="0"/>
          <w:shd w:val="clear" w:color="auto" w:fill="FFFFFF"/>
          <w14:ligatures w14:val="none"/>
        </w:rPr>
        <w:t xml:space="preserve"> 14.9 (2022).</w:t>
      </w:r>
    </w:p>
    <w:p w14:paraId="64324F9A" w14:textId="77777777" w:rsidR="00431BF8" w:rsidRPr="00431BF8" w:rsidRDefault="00431BF8" w:rsidP="00431BF8">
      <w:pPr>
        <w:rPr>
          <w:rFonts w:ascii="Times New Roman" w:eastAsia="Times New Roman" w:hAnsi="Times New Roman" w:cs="Times New Roman"/>
          <w:color w:val="000000"/>
          <w:kern w:val="0"/>
          <w14:ligatures w14:val="none"/>
        </w:rPr>
      </w:pPr>
    </w:p>
    <w:p w14:paraId="7924AC8B" w14:textId="77777777" w:rsidR="00431BF8" w:rsidRPr="00431BF8" w:rsidRDefault="00431BF8" w:rsidP="00431BF8">
      <w:pPr>
        <w:rPr>
          <w:rFonts w:ascii="Times New Roman" w:eastAsia="Times New Roman" w:hAnsi="Times New Roman" w:cs="Times New Roman"/>
          <w:color w:val="000000"/>
          <w:kern w:val="0"/>
          <w14:ligatures w14:val="none"/>
        </w:rPr>
      </w:pPr>
      <w:r w:rsidRPr="00431BF8">
        <w:rPr>
          <w:rFonts w:ascii="Times New Roman" w:eastAsia="Times New Roman" w:hAnsi="Times New Roman" w:cs="Times New Roman"/>
          <w:color w:val="000000"/>
          <w:kern w:val="0"/>
          <w14:ligatures w14:val="none"/>
        </w:rPr>
        <w:tab/>
      </w:r>
    </w:p>
    <w:p w14:paraId="0EFC5C64" w14:textId="77777777" w:rsidR="00431BF8" w:rsidRPr="00431BF8" w:rsidRDefault="00431BF8" w:rsidP="00431BF8">
      <w:pPr>
        <w:spacing w:after="240"/>
        <w:rPr>
          <w:rFonts w:ascii="Times New Roman" w:eastAsia="Times New Roman" w:hAnsi="Times New Roman" w:cs="Times New Roman"/>
          <w:kern w:val="0"/>
          <w14:ligatures w14:val="none"/>
        </w:rPr>
      </w:pPr>
    </w:p>
    <w:p w14:paraId="0271209A" w14:textId="77777777" w:rsidR="00431BF8" w:rsidRPr="00431BF8" w:rsidRDefault="00431BF8" w:rsidP="00431BF8">
      <w:pPr>
        <w:rPr>
          <w:rFonts w:ascii="Times New Roman" w:eastAsia="Times New Roman" w:hAnsi="Times New Roman" w:cs="Times New Roman"/>
          <w:kern w:val="0"/>
          <w14:ligatures w14:val="none"/>
        </w:rPr>
      </w:pPr>
    </w:p>
    <w:p w14:paraId="75073B11" w14:textId="77777777" w:rsidR="005F77E3" w:rsidRPr="00431BF8" w:rsidRDefault="005F77E3">
      <w:pPr>
        <w:rPr>
          <w:rFonts w:ascii="Times New Roman" w:hAnsi="Times New Roman" w:cs="Times New Roman"/>
        </w:rPr>
      </w:pPr>
    </w:p>
    <w:sectPr w:rsidR="005F77E3" w:rsidRPr="00431B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08B"/>
    <w:multiLevelType w:val="hybridMultilevel"/>
    <w:tmpl w:val="E84AFD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B503A"/>
    <w:multiLevelType w:val="multilevel"/>
    <w:tmpl w:val="0BF4D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F2956"/>
    <w:multiLevelType w:val="multilevel"/>
    <w:tmpl w:val="F2D4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64898"/>
    <w:multiLevelType w:val="multilevel"/>
    <w:tmpl w:val="5D7CE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647D"/>
    <w:multiLevelType w:val="multilevel"/>
    <w:tmpl w:val="DD607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90B15"/>
    <w:multiLevelType w:val="multilevel"/>
    <w:tmpl w:val="9D5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E7FB9"/>
    <w:multiLevelType w:val="hybridMultilevel"/>
    <w:tmpl w:val="5E402CA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E9A2058"/>
    <w:multiLevelType w:val="multilevel"/>
    <w:tmpl w:val="F39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176654">
    <w:abstractNumId w:val="3"/>
  </w:num>
  <w:num w:numId="2" w16cid:durableId="4556994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16cid:durableId="1878228759">
    <w:abstractNumId w:val="3"/>
    <w:lvlOverride w:ilvl="2">
      <w:lvl w:ilvl="2">
        <w:numFmt w:val="bullet"/>
        <w:lvlText w:val=""/>
        <w:lvlJc w:val="left"/>
        <w:pPr>
          <w:tabs>
            <w:tab w:val="num" w:pos="2160"/>
          </w:tabs>
          <w:ind w:left="2160" w:hanging="360"/>
        </w:pPr>
        <w:rPr>
          <w:rFonts w:ascii="Symbol" w:hAnsi="Symbol" w:hint="default"/>
          <w:sz w:val="20"/>
        </w:rPr>
      </w:lvl>
    </w:lvlOverride>
  </w:num>
  <w:num w:numId="4" w16cid:durableId="643434109">
    <w:abstractNumId w:val="3"/>
    <w:lvlOverride w:ilvl="2">
      <w:lvl w:ilvl="2">
        <w:numFmt w:val="bullet"/>
        <w:lvlText w:val=""/>
        <w:lvlJc w:val="left"/>
        <w:pPr>
          <w:tabs>
            <w:tab w:val="num" w:pos="2160"/>
          </w:tabs>
          <w:ind w:left="2160" w:hanging="360"/>
        </w:pPr>
        <w:rPr>
          <w:rFonts w:ascii="Symbol" w:hAnsi="Symbol" w:hint="default"/>
          <w:sz w:val="20"/>
        </w:rPr>
      </w:lvl>
    </w:lvlOverride>
  </w:num>
  <w:num w:numId="5" w16cid:durableId="1448618559">
    <w:abstractNumId w:val="3"/>
    <w:lvlOverride w:ilvl="2">
      <w:lvl w:ilvl="2">
        <w:numFmt w:val="bullet"/>
        <w:lvlText w:val=""/>
        <w:lvlJc w:val="left"/>
        <w:pPr>
          <w:tabs>
            <w:tab w:val="num" w:pos="2160"/>
          </w:tabs>
          <w:ind w:left="2160" w:hanging="360"/>
        </w:pPr>
        <w:rPr>
          <w:rFonts w:ascii="Symbol" w:hAnsi="Symbol" w:hint="default"/>
          <w:sz w:val="20"/>
        </w:rPr>
      </w:lvl>
    </w:lvlOverride>
  </w:num>
  <w:num w:numId="6" w16cid:durableId="805273485">
    <w:abstractNumId w:val="3"/>
    <w:lvlOverride w:ilvl="2">
      <w:lvl w:ilvl="2">
        <w:numFmt w:val="bullet"/>
        <w:lvlText w:val=""/>
        <w:lvlJc w:val="left"/>
        <w:pPr>
          <w:tabs>
            <w:tab w:val="num" w:pos="2160"/>
          </w:tabs>
          <w:ind w:left="2160" w:hanging="360"/>
        </w:pPr>
        <w:rPr>
          <w:rFonts w:ascii="Symbol" w:hAnsi="Symbol" w:hint="default"/>
          <w:sz w:val="20"/>
        </w:rPr>
      </w:lvl>
    </w:lvlOverride>
  </w:num>
  <w:num w:numId="7" w16cid:durableId="1935048105">
    <w:abstractNumId w:val="3"/>
    <w:lvlOverride w:ilvl="2">
      <w:lvl w:ilvl="2">
        <w:numFmt w:val="bullet"/>
        <w:lvlText w:val=""/>
        <w:lvlJc w:val="left"/>
        <w:pPr>
          <w:tabs>
            <w:tab w:val="num" w:pos="2160"/>
          </w:tabs>
          <w:ind w:left="2160" w:hanging="360"/>
        </w:pPr>
        <w:rPr>
          <w:rFonts w:ascii="Symbol" w:hAnsi="Symbol" w:hint="default"/>
          <w:sz w:val="20"/>
        </w:rPr>
      </w:lvl>
    </w:lvlOverride>
  </w:num>
  <w:num w:numId="8" w16cid:durableId="214123857">
    <w:abstractNumId w:val="3"/>
    <w:lvlOverride w:ilvl="2">
      <w:lvl w:ilvl="2">
        <w:numFmt w:val="bullet"/>
        <w:lvlText w:val=""/>
        <w:lvlJc w:val="left"/>
        <w:pPr>
          <w:tabs>
            <w:tab w:val="num" w:pos="2160"/>
          </w:tabs>
          <w:ind w:left="2160" w:hanging="360"/>
        </w:pPr>
        <w:rPr>
          <w:rFonts w:ascii="Symbol" w:hAnsi="Symbol" w:hint="default"/>
          <w:sz w:val="20"/>
        </w:rPr>
      </w:lvl>
    </w:lvlOverride>
  </w:num>
  <w:num w:numId="9" w16cid:durableId="760688248">
    <w:abstractNumId w:val="3"/>
    <w:lvlOverride w:ilvl="2">
      <w:lvl w:ilvl="2">
        <w:numFmt w:val="bullet"/>
        <w:lvlText w:val=""/>
        <w:lvlJc w:val="left"/>
        <w:pPr>
          <w:tabs>
            <w:tab w:val="num" w:pos="2160"/>
          </w:tabs>
          <w:ind w:left="2160" w:hanging="360"/>
        </w:pPr>
        <w:rPr>
          <w:rFonts w:ascii="Symbol" w:hAnsi="Symbol" w:hint="default"/>
          <w:sz w:val="20"/>
        </w:rPr>
      </w:lvl>
    </w:lvlOverride>
  </w:num>
  <w:num w:numId="10" w16cid:durableId="1242332347">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1774787224">
    <w:abstractNumId w:val="3"/>
    <w:lvlOverride w:ilvl="2">
      <w:lvl w:ilvl="2">
        <w:numFmt w:val="bullet"/>
        <w:lvlText w:val=""/>
        <w:lvlJc w:val="left"/>
        <w:pPr>
          <w:tabs>
            <w:tab w:val="num" w:pos="2160"/>
          </w:tabs>
          <w:ind w:left="2160" w:hanging="360"/>
        </w:pPr>
        <w:rPr>
          <w:rFonts w:ascii="Symbol" w:hAnsi="Symbol" w:hint="default"/>
          <w:sz w:val="20"/>
        </w:rPr>
      </w:lvl>
    </w:lvlOverride>
  </w:num>
  <w:num w:numId="12" w16cid:durableId="1442340787">
    <w:abstractNumId w:val="3"/>
    <w:lvlOverride w:ilvl="3">
      <w:lvl w:ilvl="3">
        <w:numFmt w:val="bullet"/>
        <w:lvlText w:val=""/>
        <w:lvlJc w:val="left"/>
        <w:pPr>
          <w:tabs>
            <w:tab w:val="num" w:pos="2880"/>
          </w:tabs>
          <w:ind w:left="2880" w:hanging="360"/>
        </w:pPr>
        <w:rPr>
          <w:rFonts w:ascii="Symbol" w:hAnsi="Symbol" w:hint="default"/>
          <w:sz w:val="20"/>
        </w:rPr>
      </w:lvl>
    </w:lvlOverride>
  </w:num>
  <w:num w:numId="13" w16cid:durableId="823619843">
    <w:abstractNumId w:val="3"/>
    <w:lvlOverride w:ilvl="2">
      <w:lvl w:ilvl="2">
        <w:numFmt w:val="bullet"/>
        <w:lvlText w:val=""/>
        <w:lvlJc w:val="left"/>
        <w:pPr>
          <w:tabs>
            <w:tab w:val="num" w:pos="2160"/>
          </w:tabs>
          <w:ind w:left="2160" w:hanging="360"/>
        </w:pPr>
        <w:rPr>
          <w:rFonts w:ascii="Symbol" w:hAnsi="Symbol" w:hint="default"/>
          <w:sz w:val="20"/>
        </w:rPr>
      </w:lvl>
    </w:lvlOverride>
  </w:num>
  <w:num w:numId="14" w16cid:durableId="1314141621">
    <w:abstractNumId w:val="3"/>
    <w:lvlOverride w:ilvl="3">
      <w:lvl w:ilvl="3">
        <w:numFmt w:val="bullet"/>
        <w:lvlText w:val=""/>
        <w:lvlJc w:val="left"/>
        <w:pPr>
          <w:tabs>
            <w:tab w:val="num" w:pos="2880"/>
          </w:tabs>
          <w:ind w:left="2880" w:hanging="360"/>
        </w:pPr>
        <w:rPr>
          <w:rFonts w:ascii="Symbol" w:hAnsi="Symbol" w:hint="default"/>
          <w:sz w:val="20"/>
        </w:rPr>
      </w:lvl>
    </w:lvlOverride>
  </w:num>
  <w:num w:numId="15" w16cid:durableId="2093044624">
    <w:abstractNumId w:val="3"/>
    <w:lvlOverride w:ilvl="3">
      <w:lvl w:ilvl="3">
        <w:numFmt w:val="bullet"/>
        <w:lvlText w:val=""/>
        <w:lvlJc w:val="left"/>
        <w:pPr>
          <w:tabs>
            <w:tab w:val="num" w:pos="2880"/>
          </w:tabs>
          <w:ind w:left="2880" w:hanging="360"/>
        </w:pPr>
        <w:rPr>
          <w:rFonts w:ascii="Symbol" w:hAnsi="Symbol" w:hint="default"/>
          <w:sz w:val="20"/>
        </w:rPr>
      </w:lvl>
    </w:lvlOverride>
  </w:num>
  <w:num w:numId="16" w16cid:durableId="180244906">
    <w:abstractNumId w:val="3"/>
    <w:lvlOverride w:ilvl="3">
      <w:lvl w:ilvl="3">
        <w:numFmt w:val="bullet"/>
        <w:lvlText w:val=""/>
        <w:lvlJc w:val="left"/>
        <w:pPr>
          <w:tabs>
            <w:tab w:val="num" w:pos="2880"/>
          </w:tabs>
          <w:ind w:left="2880" w:hanging="360"/>
        </w:pPr>
        <w:rPr>
          <w:rFonts w:ascii="Symbol" w:hAnsi="Symbol" w:hint="default"/>
          <w:sz w:val="20"/>
        </w:rPr>
      </w:lvl>
    </w:lvlOverride>
  </w:num>
  <w:num w:numId="17" w16cid:durableId="1700163303">
    <w:abstractNumId w:val="3"/>
    <w:lvlOverride w:ilvl="2">
      <w:lvl w:ilvl="2">
        <w:numFmt w:val="bullet"/>
        <w:lvlText w:val=""/>
        <w:lvlJc w:val="left"/>
        <w:pPr>
          <w:tabs>
            <w:tab w:val="num" w:pos="2160"/>
          </w:tabs>
          <w:ind w:left="2160" w:hanging="360"/>
        </w:pPr>
        <w:rPr>
          <w:rFonts w:ascii="Symbol" w:hAnsi="Symbol" w:hint="default"/>
          <w:sz w:val="20"/>
        </w:rPr>
      </w:lvl>
    </w:lvlOverride>
  </w:num>
  <w:num w:numId="18" w16cid:durableId="1404648088">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646664276">
    <w:abstractNumId w:val="3"/>
    <w:lvlOverride w:ilvl="2">
      <w:lvl w:ilvl="2">
        <w:numFmt w:val="bullet"/>
        <w:lvlText w:val=""/>
        <w:lvlJc w:val="left"/>
        <w:pPr>
          <w:tabs>
            <w:tab w:val="num" w:pos="2160"/>
          </w:tabs>
          <w:ind w:left="2160" w:hanging="360"/>
        </w:pPr>
        <w:rPr>
          <w:rFonts w:ascii="Symbol" w:hAnsi="Symbol" w:hint="default"/>
          <w:sz w:val="20"/>
        </w:rPr>
      </w:lvl>
    </w:lvlOverride>
  </w:num>
  <w:num w:numId="20" w16cid:durableId="903680725">
    <w:abstractNumId w:val="3"/>
    <w:lvlOverride w:ilvl="2">
      <w:lvl w:ilvl="2">
        <w:numFmt w:val="bullet"/>
        <w:lvlText w:val=""/>
        <w:lvlJc w:val="left"/>
        <w:pPr>
          <w:tabs>
            <w:tab w:val="num" w:pos="2160"/>
          </w:tabs>
          <w:ind w:left="2160" w:hanging="360"/>
        </w:pPr>
        <w:rPr>
          <w:rFonts w:ascii="Symbol" w:hAnsi="Symbol" w:hint="default"/>
          <w:sz w:val="20"/>
        </w:rPr>
      </w:lvl>
    </w:lvlOverride>
  </w:num>
  <w:num w:numId="21" w16cid:durableId="1585071329">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295792991">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16cid:durableId="81265896">
    <w:abstractNumId w:val="4"/>
  </w:num>
  <w:num w:numId="24" w16cid:durableId="1813019096">
    <w:abstractNumId w:val="4"/>
    <w:lvlOverride w:ilvl="1">
      <w:lvl w:ilvl="1">
        <w:numFmt w:val="bullet"/>
        <w:lvlText w:val=""/>
        <w:lvlJc w:val="left"/>
        <w:pPr>
          <w:tabs>
            <w:tab w:val="num" w:pos="1440"/>
          </w:tabs>
          <w:ind w:left="1440" w:hanging="360"/>
        </w:pPr>
        <w:rPr>
          <w:rFonts w:ascii="Symbol" w:hAnsi="Symbol" w:hint="default"/>
          <w:sz w:val="20"/>
        </w:rPr>
      </w:lvl>
    </w:lvlOverride>
  </w:num>
  <w:num w:numId="25" w16cid:durableId="1552427264">
    <w:abstractNumId w:val="4"/>
    <w:lvlOverride w:ilvl="2">
      <w:lvl w:ilvl="2">
        <w:numFmt w:val="bullet"/>
        <w:lvlText w:val=""/>
        <w:lvlJc w:val="left"/>
        <w:pPr>
          <w:tabs>
            <w:tab w:val="num" w:pos="2160"/>
          </w:tabs>
          <w:ind w:left="2160" w:hanging="360"/>
        </w:pPr>
        <w:rPr>
          <w:rFonts w:ascii="Symbol" w:hAnsi="Symbol" w:hint="default"/>
          <w:sz w:val="20"/>
        </w:rPr>
      </w:lvl>
    </w:lvlOverride>
  </w:num>
  <w:num w:numId="26" w16cid:durableId="506402428">
    <w:abstractNumId w:val="4"/>
    <w:lvlOverride w:ilvl="2">
      <w:lvl w:ilvl="2">
        <w:numFmt w:val="bullet"/>
        <w:lvlText w:val=""/>
        <w:lvlJc w:val="left"/>
        <w:pPr>
          <w:tabs>
            <w:tab w:val="num" w:pos="2160"/>
          </w:tabs>
          <w:ind w:left="2160" w:hanging="360"/>
        </w:pPr>
        <w:rPr>
          <w:rFonts w:ascii="Symbol" w:hAnsi="Symbol" w:hint="default"/>
          <w:sz w:val="20"/>
        </w:rPr>
      </w:lvl>
    </w:lvlOverride>
  </w:num>
  <w:num w:numId="27" w16cid:durableId="1318072431">
    <w:abstractNumId w:val="4"/>
    <w:lvlOverride w:ilvl="2">
      <w:lvl w:ilvl="2">
        <w:numFmt w:val="bullet"/>
        <w:lvlText w:val=""/>
        <w:lvlJc w:val="left"/>
        <w:pPr>
          <w:tabs>
            <w:tab w:val="num" w:pos="2160"/>
          </w:tabs>
          <w:ind w:left="2160" w:hanging="360"/>
        </w:pPr>
        <w:rPr>
          <w:rFonts w:ascii="Symbol" w:hAnsi="Symbol" w:hint="default"/>
          <w:sz w:val="20"/>
        </w:rPr>
      </w:lvl>
    </w:lvlOverride>
  </w:num>
  <w:num w:numId="28" w16cid:durableId="1735857862">
    <w:abstractNumId w:val="4"/>
    <w:lvlOverride w:ilvl="2">
      <w:lvl w:ilvl="2">
        <w:numFmt w:val="bullet"/>
        <w:lvlText w:val=""/>
        <w:lvlJc w:val="left"/>
        <w:pPr>
          <w:tabs>
            <w:tab w:val="num" w:pos="2160"/>
          </w:tabs>
          <w:ind w:left="2160" w:hanging="360"/>
        </w:pPr>
        <w:rPr>
          <w:rFonts w:ascii="Symbol" w:hAnsi="Symbol" w:hint="default"/>
          <w:sz w:val="20"/>
        </w:rPr>
      </w:lvl>
    </w:lvlOverride>
  </w:num>
  <w:num w:numId="29" w16cid:durableId="745885876">
    <w:abstractNumId w:val="4"/>
    <w:lvlOverride w:ilvl="2">
      <w:lvl w:ilvl="2">
        <w:numFmt w:val="bullet"/>
        <w:lvlText w:val=""/>
        <w:lvlJc w:val="left"/>
        <w:pPr>
          <w:tabs>
            <w:tab w:val="num" w:pos="2160"/>
          </w:tabs>
          <w:ind w:left="2160" w:hanging="360"/>
        </w:pPr>
        <w:rPr>
          <w:rFonts w:ascii="Symbol" w:hAnsi="Symbol" w:hint="default"/>
          <w:sz w:val="20"/>
        </w:rPr>
      </w:lvl>
    </w:lvlOverride>
  </w:num>
  <w:num w:numId="30" w16cid:durableId="2093891094">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1074814116">
    <w:abstractNumId w:val="4"/>
    <w:lvlOverride w:ilvl="1">
      <w:lvl w:ilvl="1">
        <w:numFmt w:val="bullet"/>
        <w:lvlText w:val=""/>
        <w:lvlJc w:val="left"/>
        <w:pPr>
          <w:tabs>
            <w:tab w:val="num" w:pos="1440"/>
          </w:tabs>
          <w:ind w:left="1440" w:hanging="360"/>
        </w:pPr>
        <w:rPr>
          <w:rFonts w:ascii="Symbol" w:hAnsi="Symbol" w:hint="default"/>
          <w:sz w:val="20"/>
        </w:rPr>
      </w:lvl>
    </w:lvlOverride>
  </w:num>
  <w:num w:numId="32" w16cid:durableId="1803571820">
    <w:abstractNumId w:val="5"/>
  </w:num>
  <w:num w:numId="33" w16cid:durableId="2039354873">
    <w:abstractNumId w:val="1"/>
  </w:num>
  <w:num w:numId="34" w16cid:durableId="283924574">
    <w:abstractNumId w:val="1"/>
    <w:lvlOverride w:ilvl="1">
      <w:lvl w:ilvl="1">
        <w:numFmt w:val="bullet"/>
        <w:lvlText w:val=""/>
        <w:lvlJc w:val="left"/>
        <w:pPr>
          <w:tabs>
            <w:tab w:val="num" w:pos="1440"/>
          </w:tabs>
          <w:ind w:left="1440" w:hanging="360"/>
        </w:pPr>
        <w:rPr>
          <w:rFonts w:ascii="Symbol" w:hAnsi="Symbol" w:hint="default"/>
          <w:sz w:val="20"/>
        </w:rPr>
      </w:lvl>
    </w:lvlOverride>
  </w:num>
  <w:num w:numId="35" w16cid:durableId="738751988">
    <w:abstractNumId w:val="1"/>
    <w:lvlOverride w:ilvl="1">
      <w:lvl w:ilvl="1">
        <w:numFmt w:val="bullet"/>
        <w:lvlText w:val=""/>
        <w:lvlJc w:val="left"/>
        <w:pPr>
          <w:tabs>
            <w:tab w:val="num" w:pos="1440"/>
          </w:tabs>
          <w:ind w:left="1440" w:hanging="360"/>
        </w:pPr>
        <w:rPr>
          <w:rFonts w:ascii="Symbol" w:hAnsi="Symbol" w:hint="default"/>
          <w:sz w:val="20"/>
        </w:rPr>
      </w:lvl>
    </w:lvlOverride>
  </w:num>
  <w:num w:numId="36" w16cid:durableId="1166750216">
    <w:abstractNumId w:val="1"/>
    <w:lvlOverride w:ilvl="1">
      <w:lvl w:ilvl="1">
        <w:numFmt w:val="bullet"/>
        <w:lvlText w:val=""/>
        <w:lvlJc w:val="left"/>
        <w:pPr>
          <w:tabs>
            <w:tab w:val="num" w:pos="1440"/>
          </w:tabs>
          <w:ind w:left="1440" w:hanging="360"/>
        </w:pPr>
        <w:rPr>
          <w:rFonts w:ascii="Symbol" w:hAnsi="Symbol" w:hint="default"/>
          <w:sz w:val="20"/>
        </w:rPr>
      </w:lvl>
    </w:lvlOverride>
  </w:num>
  <w:num w:numId="37" w16cid:durableId="114495320">
    <w:abstractNumId w:val="1"/>
    <w:lvlOverride w:ilvl="1">
      <w:lvl w:ilvl="1">
        <w:numFmt w:val="bullet"/>
        <w:lvlText w:val=""/>
        <w:lvlJc w:val="left"/>
        <w:pPr>
          <w:tabs>
            <w:tab w:val="num" w:pos="1440"/>
          </w:tabs>
          <w:ind w:left="1440" w:hanging="360"/>
        </w:pPr>
        <w:rPr>
          <w:rFonts w:ascii="Symbol" w:hAnsi="Symbol" w:hint="default"/>
          <w:sz w:val="20"/>
        </w:rPr>
      </w:lvl>
    </w:lvlOverride>
  </w:num>
  <w:num w:numId="38" w16cid:durableId="609551993">
    <w:abstractNumId w:val="1"/>
    <w:lvlOverride w:ilvl="1">
      <w:lvl w:ilvl="1">
        <w:numFmt w:val="bullet"/>
        <w:lvlText w:val=""/>
        <w:lvlJc w:val="left"/>
        <w:pPr>
          <w:tabs>
            <w:tab w:val="num" w:pos="1440"/>
          </w:tabs>
          <w:ind w:left="1440" w:hanging="360"/>
        </w:pPr>
        <w:rPr>
          <w:rFonts w:ascii="Symbol" w:hAnsi="Symbol" w:hint="default"/>
          <w:sz w:val="20"/>
        </w:rPr>
      </w:lvl>
    </w:lvlOverride>
  </w:num>
  <w:num w:numId="39" w16cid:durableId="982007642">
    <w:abstractNumId w:val="1"/>
    <w:lvlOverride w:ilvl="1">
      <w:lvl w:ilvl="1">
        <w:numFmt w:val="bullet"/>
        <w:lvlText w:val=""/>
        <w:lvlJc w:val="left"/>
        <w:pPr>
          <w:tabs>
            <w:tab w:val="num" w:pos="1440"/>
          </w:tabs>
          <w:ind w:left="1440" w:hanging="360"/>
        </w:pPr>
        <w:rPr>
          <w:rFonts w:ascii="Symbol" w:hAnsi="Symbol" w:hint="default"/>
          <w:sz w:val="20"/>
        </w:rPr>
      </w:lvl>
    </w:lvlOverride>
  </w:num>
  <w:num w:numId="40" w16cid:durableId="1647081403">
    <w:abstractNumId w:val="1"/>
    <w:lvlOverride w:ilvl="1">
      <w:lvl w:ilvl="1">
        <w:numFmt w:val="bullet"/>
        <w:lvlText w:val=""/>
        <w:lvlJc w:val="left"/>
        <w:pPr>
          <w:tabs>
            <w:tab w:val="num" w:pos="1440"/>
          </w:tabs>
          <w:ind w:left="1440" w:hanging="360"/>
        </w:pPr>
        <w:rPr>
          <w:rFonts w:ascii="Symbol" w:hAnsi="Symbol" w:hint="default"/>
          <w:sz w:val="20"/>
        </w:rPr>
      </w:lvl>
    </w:lvlOverride>
  </w:num>
  <w:num w:numId="41" w16cid:durableId="2116054859">
    <w:abstractNumId w:val="1"/>
    <w:lvlOverride w:ilvl="1">
      <w:lvl w:ilvl="1">
        <w:numFmt w:val="bullet"/>
        <w:lvlText w:val=""/>
        <w:lvlJc w:val="left"/>
        <w:pPr>
          <w:tabs>
            <w:tab w:val="num" w:pos="1440"/>
          </w:tabs>
          <w:ind w:left="1440" w:hanging="360"/>
        </w:pPr>
        <w:rPr>
          <w:rFonts w:ascii="Symbol" w:hAnsi="Symbol" w:hint="default"/>
          <w:sz w:val="20"/>
        </w:rPr>
      </w:lvl>
    </w:lvlOverride>
  </w:num>
  <w:num w:numId="42" w16cid:durableId="526212782">
    <w:abstractNumId w:val="1"/>
    <w:lvlOverride w:ilvl="1">
      <w:lvl w:ilvl="1">
        <w:numFmt w:val="bullet"/>
        <w:lvlText w:val=""/>
        <w:lvlJc w:val="left"/>
        <w:pPr>
          <w:tabs>
            <w:tab w:val="num" w:pos="1440"/>
          </w:tabs>
          <w:ind w:left="1440" w:hanging="360"/>
        </w:pPr>
        <w:rPr>
          <w:rFonts w:ascii="Symbol" w:hAnsi="Symbol" w:hint="default"/>
          <w:sz w:val="20"/>
        </w:rPr>
      </w:lvl>
    </w:lvlOverride>
  </w:num>
  <w:num w:numId="43" w16cid:durableId="1873959369">
    <w:abstractNumId w:val="1"/>
    <w:lvlOverride w:ilvl="1">
      <w:lvl w:ilvl="1">
        <w:numFmt w:val="bullet"/>
        <w:lvlText w:val=""/>
        <w:lvlJc w:val="left"/>
        <w:pPr>
          <w:tabs>
            <w:tab w:val="num" w:pos="1440"/>
          </w:tabs>
          <w:ind w:left="1440" w:hanging="360"/>
        </w:pPr>
        <w:rPr>
          <w:rFonts w:ascii="Symbol" w:hAnsi="Symbol" w:hint="default"/>
          <w:sz w:val="20"/>
        </w:rPr>
      </w:lvl>
    </w:lvlOverride>
  </w:num>
  <w:num w:numId="44" w16cid:durableId="1224177197">
    <w:abstractNumId w:val="1"/>
    <w:lvlOverride w:ilvl="1">
      <w:lvl w:ilvl="1">
        <w:numFmt w:val="bullet"/>
        <w:lvlText w:val=""/>
        <w:lvlJc w:val="left"/>
        <w:pPr>
          <w:tabs>
            <w:tab w:val="num" w:pos="1440"/>
          </w:tabs>
          <w:ind w:left="1440" w:hanging="360"/>
        </w:pPr>
        <w:rPr>
          <w:rFonts w:ascii="Symbol" w:hAnsi="Symbol" w:hint="default"/>
          <w:sz w:val="20"/>
        </w:rPr>
      </w:lvl>
    </w:lvlOverride>
  </w:num>
  <w:num w:numId="45" w16cid:durableId="1211383357">
    <w:abstractNumId w:val="1"/>
    <w:lvlOverride w:ilvl="1">
      <w:lvl w:ilvl="1">
        <w:numFmt w:val="bullet"/>
        <w:lvlText w:val=""/>
        <w:lvlJc w:val="left"/>
        <w:pPr>
          <w:tabs>
            <w:tab w:val="num" w:pos="1440"/>
          </w:tabs>
          <w:ind w:left="1440" w:hanging="360"/>
        </w:pPr>
        <w:rPr>
          <w:rFonts w:ascii="Symbol" w:hAnsi="Symbol" w:hint="default"/>
          <w:sz w:val="20"/>
        </w:rPr>
      </w:lvl>
    </w:lvlOverride>
  </w:num>
  <w:num w:numId="46" w16cid:durableId="1094589947">
    <w:abstractNumId w:val="1"/>
    <w:lvlOverride w:ilvl="1">
      <w:lvl w:ilvl="1">
        <w:numFmt w:val="bullet"/>
        <w:lvlText w:val=""/>
        <w:lvlJc w:val="left"/>
        <w:pPr>
          <w:tabs>
            <w:tab w:val="num" w:pos="1440"/>
          </w:tabs>
          <w:ind w:left="1440" w:hanging="360"/>
        </w:pPr>
        <w:rPr>
          <w:rFonts w:ascii="Symbol" w:hAnsi="Symbol" w:hint="default"/>
          <w:sz w:val="20"/>
        </w:rPr>
      </w:lvl>
    </w:lvlOverride>
  </w:num>
  <w:num w:numId="47" w16cid:durableId="458574075">
    <w:abstractNumId w:val="1"/>
    <w:lvlOverride w:ilvl="1">
      <w:lvl w:ilvl="1">
        <w:numFmt w:val="bullet"/>
        <w:lvlText w:val=""/>
        <w:lvlJc w:val="left"/>
        <w:pPr>
          <w:tabs>
            <w:tab w:val="num" w:pos="1440"/>
          </w:tabs>
          <w:ind w:left="1440" w:hanging="360"/>
        </w:pPr>
        <w:rPr>
          <w:rFonts w:ascii="Symbol" w:hAnsi="Symbol" w:hint="default"/>
          <w:sz w:val="20"/>
        </w:rPr>
      </w:lvl>
    </w:lvlOverride>
  </w:num>
  <w:num w:numId="48" w16cid:durableId="1776822867">
    <w:abstractNumId w:val="1"/>
    <w:lvlOverride w:ilvl="1">
      <w:lvl w:ilvl="1">
        <w:numFmt w:val="bullet"/>
        <w:lvlText w:val=""/>
        <w:lvlJc w:val="left"/>
        <w:pPr>
          <w:tabs>
            <w:tab w:val="num" w:pos="1440"/>
          </w:tabs>
          <w:ind w:left="1440" w:hanging="360"/>
        </w:pPr>
        <w:rPr>
          <w:rFonts w:ascii="Symbol" w:hAnsi="Symbol" w:hint="default"/>
          <w:sz w:val="20"/>
        </w:rPr>
      </w:lvl>
    </w:lvlOverride>
  </w:num>
  <w:num w:numId="49" w16cid:durableId="77988389">
    <w:abstractNumId w:val="1"/>
    <w:lvlOverride w:ilvl="1">
      <w:lvl w:ilvl="1">
        <w:numFmt w:val="bullet"/>
        <w:lvlText w:val=""/>
        <w:lvlJc w:val="left"/>
        <w:pPr>
          <w:tabs>
            <w:tab w:val="num" w:pos="1440"/>
          </w:tabs>
          <w:ind w:left="1440" w:hanging="360"/>
        </w:pPr>
        <w:rPr>
          <w:rFonts w:ascii="Symbol" w:hAnsi="Symbol" w:hint="default"/>
          <w:sz w:val="20"/>
        </w:rPr>
      </w:lvl>
    </w:lvlOverride>
  </w:num>
  <w:num w:numId="50" w16cid:durableId="553009211">
    <w:abstractNumId w:val="1"/>
    <w:lvlOverride w:ilvl="1">
      <w:lvl w:ilvl="1">
        <w:numFmt w:val="bullet"/>
        <w:lvlText w:val=""/>
        <w:lvlJc w:val="left"/>
        <w:pPr>
          <w:tabs>
            <w:tab w:val="num" w:pos="1440"/>
          </w:tabs>
          <w:ind w:left="1440" w:hanging="360"/>
        </w:pPr>
        <w:rPr>
          <w:rFonts w:ascii="Symbol" w:hAnsi="Symbol" w:hint="default"/>
          <w:sz w:val="20"/>
        </w:rPr>
      </w:lvl>
    </w:lvlOverride>
  </w:num>
  <w:num w:numId="51" w16cid:durableId="606498332">
    <w:abstractNumId w:val="1"/>
    <w:lvlOverride w:ilvl="1">
      <w:lvl w:ilvl="1">
        <w:numFmt w:val="bullet"/>
        <w:lvlText w:val=""/>
        <w:lvlJc w:val="left"/>
        <w:pPr>
          <w:tabs>
            <w:tab w:val="num" w:pos="1440"/>
          </w:tabs>
          <w:ind w:left="1440" w:hanging="360"/>
        </w:pPr>
        <w:rPr>
          <w:rFonts w:ascii="Symbol" w:hAnsi="Symbol" w:hint="default"/>
          <w:sz w:val="20"/>
        </w:rPr>
      </w:lvl>
    </w:lvlOverride>
  </w:num>
  <w:num w:numId="52" w16cid:durableId="272978555">
    <w:abstractNumId w:val="1"/>
    <w:lvlOverride w:ilvl="1">
      <w:lvl w:ilvl="1">
        <w:numFmt w:val="bullet"/>
        <w:lvlText w:val=""/>
        <w:lvlJc w:val="left"/>
        <w:pPr>
          <w:tabs>
            <w:tab w:val="num" w:pos="1440"/>
          </w:tabs>
          <w:ind w:left="1440" w:hanging="360"/>
        </w:pPr>
        <w:rPr>
          <w:rFonts w:ascii="Symbol" w:hAnsi="Symbol" w:hint="default"/>
          <w:sz w:val="20"/>
        </w:rPr>
      </w:lvl>
    </w:lvlOverride>
  </w:num>
  <w:num w:numId="53" w16cid:durableId="1127237392">
    <w:abstractNumId w:val="1"/>
    <w:lvlOverride w:ilvl="1">
      <w:lvl w:ilvl="1">
        <w:numFmt w:val="bullet"/>
        <w:lvlText w:val=""/>
        <w:lvlJc w:val="left"/>
        <w:pPr>
          <w:tabs>
            <w:tab w:val="num" w:pos="1440"/>
          </w:tabs>
          <w:ind w:left="1440" w:hanging="360"/>
        </w:pPr>
        <w:rPr>
          <w:rFonts w:ascii="Symbol" w:hAnsi="Symbol" w:hint="default"/>
          <w:sz w:val="20"/>
        </w:rPr>
      </w:lvl>
    </w:lvlOverride>
  </w:num>
  <w:num w:numId="54" w16cid:durableId="2131321791">
    <w:abstractNumId w:val="7"/>
  </w:num>
  <w:num w:numId="55" w16cid:durableId="973028750">
    <w:abstractNumId w:val="2"/>
  </w:num>
  <w:num w:numId="56" w16cid:durableId="1809546497">
    <w:abstractNumId w:val="6"/>
  </w:num>
  <w:num w:numId="57" w16cid:durableId="1437873137">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F8"/>
    <w:rsid w:val="0009120A"/>
    <w:rsid w:val="000C3C7A"/>
    <w:rsid w:val="002A6023"/>
    <w:rsid w:val="003476BA"/>
    <w:rsid w:val="00431BF8"/>
    <w:rsid w:val="00551EFF"/>
    <w:rsid w:val="005F77E3"/>
    <w:rsid w:val="00727301"/>
    <w:rsid w:val="00806615"/>
    <w:rsid w:val="0085084C"/>
    <w:rsid w:val="0087064C"/>
    <w:rsid w:val="0089014D"/>
    <w:rsid w:val="00907F3E"/>
    <w:rsid w:val="00947B56"/>
    <w:rsid w:val="00A30F97"/>
    <w:rsid w:val="00A46AC2"/>
    <w:rsid w:val="00AF0695"/>
    <w:rsid w:val="00B86704"/>
    <w:rsid w:val="00D3133F"/>
    <w:rsid w:val="00DA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99DD"/>
  <w15:chartTrackingRefBased/>
  <w15:docId w15:val="{2EC5D136-A8C1-8B46-BEDE-07D910BE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B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431BF8"/>
  </w:style>
  <w:style w:type="character" w:styleId="Hyperlink">
    <w:name w:val="Hyperlink"/>
    <w:basedOn w:val="DefaultParagraphFont"/>
    <w:uiPriority w:val="99"/>
    <w:unhideWhenUsed/>
    <w:rsid w:val="00431BF8"/>
    <w:rPr>
      <w:color w:val="0000FF"/>
      <w:u w:val="single"/>
    </w:rPr>
  </w:style>
  <w:style w:type="paragraph" w:styleId="Revision">
    <w:name w:val="Revision"/>
    <w:hidden/>
    <w:uiPriority w:val="99"/>
    <w:semiHidden/>
    <w:rsid w:val="000C3C7A"/>
  </w:style>
  <w:style w:type="character" w:styleId="UnresolvedMention">
    <w:name w:val="Unresolved Mention"/>
    <w:basedOn w:val="DefaultParagraphFont"/>
    <w:uiPriority w:val="99"/>
    <w:semiHidden/>
    <w:unhideWhenUsed/>
    <w:rsid w:val="003476BA"/>
    <w:rPr>
      <w:color w:val="605E5C"/>
      <w:shd w:val="clear" w:color="auto" w:fill="E1DFDD"/>
    </w:rPr>
  </w:style>
  <w:style w:type="paragraph" w:styleId="BalloonText">
    <w:name w:val="Balloon Text"/>
    <w:basedOn w:val="Normal"/>
    <w:link w:val="BalloonTextChar"/>
    <w:uiPriority w:val="99"/>
    <w:semiHidden/>
    <w:unhideWhenUsed/>
    <w:rsid w:val="00890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p.org/content/accelerated-research-pathway-arp-detai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p.org/content/pediatrics-neurodevelopmental-disabilities-pathw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p.org/content/pediatrics-neurology" TargetMode="External"/><Relationship Id="rId11" Type="http://schemas.openxmlformats.org/officeDocument/2006/relationships/hyperlink" Target="https://www.abp.org/content/non-standard-pathways-and-combined-programs" TargetMode="External"/><Relationship Id="rId5" Type="http://schemas.openxmlformats.org/officeDocument/2006/relationships/hyperlink" Target="https://www.abp.org/sites/abp/files/pdf/cic-absences-from-training.pdf" TargetMode="External"/><Relationship Id="rId10" Type="http://schemas.openxmlformats.org/officeDocument/2006/relationships/hyperlink" Target="https://www.acgme.org/globalassets/pfassets/programrequirements/2025-prs/320_pediatrics_2025.pdf" TargetMode="External"/><Relationship Id="rId4" Type="http://schemas.openxmlformats.org/officeDocument/2006/relationships/webSettings" Target="webSettings.xml"/><Relationship Id="rId9" Type="http://schemas.openxmlformats.org/officeDocument/2006/relationships/hyperlink" Target="https://www.abp.org/content/integrated-research-pathway-i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Sara Katherine</dc:creator>
  <cp:keywords/>
  <dc:description/>
  <cp:lastModifiedBy>Gellin, Caren</cp:lastModifiedBy>
  <cp:revision>5</cp:revision>
  <dcterms:created xsi:type="dcterms:W3CDTF">2024-03-29T15:42:00Z</dcterms:created>
  <dcterms:modified xsi:type="dcterms:W3CDTF">2024-05-28T18:54:00Z</dcterms:modified>
</cp:coreProperties>
</file>