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ADF14" w14:textId="073358F2" w:rsidR="00447A35" w:rsidRPr="00DC4460" w:rsidRDefault="00DB0559" w:rsidP="00DC4460">
      <w:pPr>
        <w:spacing w:after="0"/>
        <w:rPr>
          <w:rFonts w:ascii="Cambria" w:hAnsi="Cambria"/>
          <w:b/>
          <w:sz w:val="36"/>
          <w:szCs w:val="28"/>
        </w:rPr>
      </w:pPr>
      <w:r>
        <w:rPr>
          <w:rFonts w:ascii="Cambria" w:hAnsi="Cambria"/>
          <w:b/>
          <w:sz w:val="36"/>
          <w:szCs w:val="28"/>
        </w:rPr>
        <w:t>Career Planning for Residents</w:t>
      </w:r>
    </w:p>
    <w:p w14:paraId="69CCBF41" w14:textId="447351E3" w:rsidR="00DC4460" w:rsidRDefault="00DB0559" w:rsidP="00DC4460">
      <w:pPr>
        <w:spacing w:after="0"/>
        <w:rPr>
          <w:rFonts w:ascii="Cambria" w:hAnsi="Cambria"/>
          <w:sz w:val="24"/>
          <w:szCs w:val="28"/>
        </w:rPr>
      </w:pPr>
      <w:r>
        <w:rPr>
          <w:rFonts w:ascii="Cambria" w:hAnsi="Cambria"/>
          <w:sz w:val="24"/>
          <w:szCs w:val="28"/>
        </w:rPr>
        <w:t>Vini Vijayan, MD</w:t>
      </w:r>
      <w:r w:rsidR="00580D88">
        <w:rPr>
          <w:rFonts w:ascii="Cambria" w:hAnsi="Cambria"/>
          <w:sz w:val="24"/>
          <w:szCs w:val="28"/>
        </w:rPr>
        <w:t>, FIDSA</w:t>
      </w:r>
      <w:r w:rsidR="0081438B">
        <w:rPr>
          <w:rFonts w:ascii="Cambria" w:hAnsi="Cambria"/>
          <w:sz w:val="24"/>
          <w:szCs w:val="28"/>
        </w:rPr>
        <w:t>,</w:t>
      </w:r>
      <w:r>
        <w:rPr>
          <w:rFonts w:ascii="Cambria" w:hAnsi="Cambria"/>
          <w:sz w:val="24"/>
          <w:szCs w:val="28"/>
        </w:rPr>
        <w:t xml:space="preserve"> and Jacqueline Leja, MD</w:t>
      </w:r>
    </w:p>
    <w:p w14:paraId="78647AA9" w14:textId="5E11B290" w:rsidR="00302483" w:rsidRPr="00302483" w:rsidRDefault="00302483" w:rsidP="00DC4460">
      <w:pPr>
        <w:spacing w:after="0"/>
        <w:rPr>
          <w:rFonts w:ascii="Cambria" w:hAnsi="Cambria"/>
        </w:rPr>
      </w:pPr>
      <w:r>
        <w:rPr>
          <w:rFonts w:ascii="Cambria" w:hAnsi="Cambria"/>
        </w:rPr>
        <w:t xml:space="preserve">Edited by </w:t>
      </w:r>
      <w:r w:rsidR="007E18C6">
        <w:rPr>
          <w:rFonts w:ascii="Cambria" w:hAnsi="Cambria"/>
        </w:rPr>
        <w:t>Margaret</w:t>
      </w:r>
      <w:r>
        <w:rPr>
          <w:rFonts w:ascii="Cambria" w:hAnsi="Cambria"/>
        </w:rPr>
        <w:t xml:space="preserve"> McNamara, MD and Alan Chin, MD</w:t>
      </w:r>
    </w:p>
    <w:p w14:paraId="33C7835B" w14:textId="77777777" w:rsidR="002D57FE" w:rsidRDefault="002D57FE" w:rsidP="002D57FE">
      <w:pPr>
        <w:spacing w:after="0"/>
        <w:rPr>
          <w:rFonts w:ascii="Cambria" w:hAnsi="Cambria"/>
          <w:color w:val="0070C0"/>
          <w:sz w:val="28"/>
          <w:szCs w:val="28"/>
        </w:rPr>
      </w:pPr>
    </w:p>
    <w:p w14:paraId="07212333" w14:textId="1B129AC0" w:rsidR="002D57FE" w:rsidRPr="007C1A9B" w:rsidRDefault="002D57FE" w:rsidP="00976038">
      <w:pPr>
        <w:spacing w:after="0"/>
        <w:contextualSpacing/>
        <w:rPr>
          <w:rFonts w:ascii="Cambria" w:hAnsi="Cambria"/>
          <w:color w:val="0070C0"/>
          <w:sz w:val="28"/>
          <w:szCs w:val="28"/>
        </w:rPr>
      </w:pPr>
      <w:r w:rsidRPr="007C1A9B">
        <w:rPr>
          <w:rFonts w:ascii="Cambria" w:hAnsi="Cambria"/>
          <w:color w:val="0070C0"/>
          <w:sz w:val="28"/>
          <w:szCs w:val="28"/>
        </w:rPr>
        <w:t>Introduction</w:t>
      </w:r>
    </w:p>
    <w:p w14:paraId="793F1A96" w14:textId="50A74921" w:rsidR="006079D8" w:rsidRDefault="00A32793" w:rsidP="002D57FE">
      <w:pPr>
        <w:spacing w:after="0"/>
        <w:contextualSpacing/>
        <w:rPr>
          <w:rFonts w:cstheme="minorHAnsi"/>
        </w:rPr>
      </w:pPr>
      <w:r>
        <w:rPr>
          <w:rFonts w:cstheme="minorHAnsi"/>
        </w:rPr>
        <w:t xml:space="preserve">Planning a career after residency can be a complicated and overwhelming process for residents, especially considering </w:t>
      </w:r>
      <w:r w:rsidR="00643098">
        <w:rPr>
          <w:rFonts w:cstheme="minorHAnsi"/>
        </w:rPr>
        <w:t xml:space="preserve">their </w:t>
      </w:r>
      <w:r>
        <w:rPr>
          <w:rFonts w:cstheme="minorHAnsi"/>
        </w:rPr>
        <w:t xml:space="preserve">demanding clinical responsibilities. </w:t>
      </w:r>
      <w:r w:rsidR="00643098">
        <w:rPr>
          <w:rFonts w:cstheme="minorHAnsi"/>
        </w:rPr>
        <w:t>The level of guidance and resources provided by r</w:t>
      </w:r>
      <w:r w:rsidR="002D57FE">
        <w:rPr>
          <w:rFonts w:cstheme="minorHAnsi"/>
        </w:rPr>
        <w:t xml:space="preserve">esidency programs </w:t>
      </w:r>
      <w:r w:rsidR="00643098">
        <w:rPr>
          <w:rFonts w:cstheme="minorHAnsi"/>
        </w:rPr>
        <w:t xml:space="preserve">may </w:t>
      </w:r>
      <w:r w:rsidR="002D57FE">
        <w:rPr>
          <w:rFonts w:cstheme="minorHAnsi"/>
        </w:rPr>
        <w:t>vary</w:t>
      </w:r>
      <w:r w:rsidR="00643098">
        <w:rPr>
          <w:rFonts w:cstheme="minorHAnsi"/>
        </w:rPr>
        <w:t xml:space="preserve">. </w:t>
      </w:r>
      <w:r w:rsidR="002D57FE">
        <w:rPr>
          <w:rFonts w:cstheme="minorHAnsi"/>
        </w:rPr>
        <w:t xml:space="preserve"> This chapter </w:t>
      </w:r>
      <w:r w:rsidR="00643098">
        <w:rPr>
          <w:rFonts w:cstheme="minorHAnsi"/>
        </w:rPr>
        <w:t xml:space="preserve">aims to </w:t>
      </w:r>
      <w:r w:rsidR="002D57FE">
        <w:rPr>
          <w:rFonts w:cstheme="minorHAnsi"/>
        </w:rPr>
        <w:t>provide</w:t>
      </w:r>
      <w:r w:rsidR="00643098">
        <w:rPr>
          <w:rFonts w:cstheme="minorHAnsi"/>
        </w:rPr>
        <w:t xml:space="preserve"> </w:t>
      </w:r>
      <w:r w:rsidR="002D57FE">
        <w:rPr>
          <w:rFonts w:cstheme="minorHAnsi"/>
        </w:rPr>
        <w:t xml:space="preserve">an overview of how residency programs can </w:t>
      </w:r>
      <w:r w:rsidR="00643098">
        <w:rPr>
          <w:rFonts w:cstheme="minorHAnsi"/>
        </w:rPr>
        <w:t>help</w:t>
      </w:r>
      <w:r w:rsidR="002D57FE">
        <w:rPr>
          <w:rFonts w:cstheme="minorHAnsi"/>
        </w:rPr>
        <w:t xml:space="preserve"> residents </w:t>
      </w:r>
      <w:r w:rsidR="00643098">
        <w:rPr>
          <w:rFonts w:cstheme="minorHAnsi"/>
        </w:rPr>
        <w:t>plan</w:t>
      </w:r>
      <w:r w:rsidR="002D57FE">
        <w:rPr>
          <w:rFonts w:cstheme="minorHAnsi"/>
        </w:rPr>
        <w:t xml:space="preserve"> their career strategy, self-assess</w:t>
      </w:r>
      <w:r w:rsidR="00643098">
        <w:rPr>
          <w:rFonts w:cstheme="minorHAnsi"/>
        </w:rPr>
        <w:t xml:space="preserve"> </w:t>
      </w:r>
      <w:r w:rsidR="002518B7">
        <w:rPr>
          <w:rFonts w:cstheme="minorHAnsi"/>
        </w:rPr>
        <w:t xml:space="preserve">their </w:t>
      </w:r>
      <w:r w:rsidR="002D57FE">
        <w:rPr>
          <w:rFonts w:cstheme="minorHAnsi"/>
        </w:rPr>
        <w:t>career goals and priorities, prepar</w:t>
      </w:r>
      <w:r w:rsidR="009371A1">
        <w:rPr>
          <w:rFonts w:cstheme="minorHAnsi"/>
        </w:rPr>
        <w:t xml:space="preserve">e </w:t>
      </w:r>
      <w:r w:rsidR="002518B7">
        <w:rPr>
          <w:rFonts w:cstheme="minorHAnsi"/>
        </w:rPr>
        <w:t>required documents</w:t>
      </w:r>
      <w:r w:rsidR="002D57FE">
        <w:rPr>
          <w:rFonts w:cstheme="minorHAnsi"/>
        </w:rPr>
        <w:t>, and establish a timeline to ensure success.</w:t>
      </w:r>
    </w:p>
    <w:p w14:paraId="3BF2DCE9" w14:textId="77777777" w:rsidR="00EE54BE" w:rsidRDefault="00EE54BE" w:rsidP="002D57FE">
      <w:pPr>
        <w:spacing w:after="0"/>
        <w:rPr>
          <w:rFonts w:cstheme="minorHAnsi"/>
        </w:rPr>
      </w:pPr>
    </w:p>
    <w:p w14:paraId="6E486302" w14:textId="3750A901" w:rsidR="00EE54BE" w:rsidRPr="00640774" w:rsidRDefault="59C52A98" w:rsidP="4B4815A3">
      <w:pPr>
        <w:spacing w:after="0"/>
        <w:contextualSpacing/>
        <w:rPr>
          <w:rFonts w:ascii="Cambria" w:hAnsi="Cambria"/>
          <w:color w:val="0070C0"/>
          <w:sz w:val="28"/>
          <w:szCs w:val="28"/>
        </w:rPr>
      </w:pPr>
      <w:r w:rsidRPr="59C52A98">
        <w:rPr>
          <w:rFonts w:ascii="Cambria" w:hAnsi="Cambria"/>
          <w:color w:val="0070C0"/>
          <w:sz w:val="28"/>
          <w:szCs w:val="28"/>
        </w:rPr>
        <w:t>Planning for Subspecialty Fellowship Training</w:t>
      </w:r>
    </w:p>
    <w:p w14:paraId="3A65B35C" w14:textId="77777777" w:rsidR="00F50F76" w:rsidRDefault="1ACEEE3D" w:rsidP="2E2AF943">
      <w:pPr>
        <w:spacing w:after="0"/>
        <w:contextualSpacing/>
        <w:rPr>
          <w:rFonts w:eastAsiaTheme="minorEastAsia"/>
          <w:color w:val="0070C0"/>
        </w:rPr>
      </w:pPr>
      <w:r w:rsidRPr="1ACEEE3D">
        <w:rPr>
          <w:rFonts w:eastAsiaTheme="minorEastAsia"/>
          <w:color w:val="0070C0"/>
        </w:rPr>
        <w:t xml:space="preserve">Residents who are considering fellowship training in pediatric subspecialties should assure that they have adequate exposure to the field(s) of interest early in training to confirm their commitment to that path. Residents should seek out (or be paired with) a mentor from the intended field early in training and connect with the fellowship program director at the home institution if available. Residents who plan to pursue highly competitive fellowships or who desire to train at a highly selective institution should be advised during their intern year of the importance of participation in research or other relevant scholarly activity so they have time to prepare. If possible, consider supporting residents to attend a subspecialty conference to gain exposure and make external professional connections in the field. </w:t>
      </w:r>
    </w:p>
    <w:p w14:paraId="448557D5" w14:textId="0D180673" w:rsidR="00F50F76" w:rsidRDefault="1ACEEE3D" w:rsidP="2E2AF943">
      <w:pPr>
        <w:spacing w:after="0"/>
        <w:contextualSpacing/>
        <w:rPr>
          <w:rFonts w:eastAsiaTheme="minorEastAsia"/>
          <w:color w:val="0070C0"/>
        </w:rPr>
      </w:pPr>
      <w:r w:rsidRPr="1ACEEE3D">
        <w:rPr>
          <w:rFonts w:eastAsiaTheme="minorEastAsia"/>
          <w:color w:val="0070C0"/>
        </w:rPr>
        <w:t xml:space="preserve">Applications for fellowship typically require at least three letters of recommendation: a composite recommendation from the residency PD, another from a (preferably established/senior) physician in the chosen subspecialty who can evaluate the resident’s clinical performance in the field, and another from a faculty member who can speak to the resident’s academic potential. </w:t>
      </w:r>
      <w:r w:rsidR="00F50F76">
        <w:rPr>
          <w:rFonts w:eastAsiaTheme="minorEastAsia"/>
          <w:color w:val="0070C0"/>
        </w:rPr>
        <w:t>Some subspecialities (as of 2024, Pediatric Cardiology and Neonatology) may require a standard evaluation form in addition to letters of recommendation. Letters of recommendation</w:t>
      </w:r>
      <w:r w:rsidRPr="1ACEEE3D">
        <w:rPr>
          <w:rFonts w:eastAsiaTheme="minorEastAsia"/>
          <w:color w:val="0070C0"/>
        </w:rPr>
        <w:t xml:space="preserve"> should be requested in the spring of PGY2 year so that letter writers have adequate notice to submit them in a timely way by early July in order for applications to be complete at the time that fellowships review candidate files. </w:t>
      </w:r>
    </w:p>
    <w:p w14:paraId="360B4DBF" w14:textId="23AAC081" w:rsidR="2E2AF943" w:rsidRDefault="1ACEEE3D" w:rsidP="2E2AF943">
      <w:pPr>
        <w:spacing w:after="0"/>
        <w:contextualSpacing/>
        <w:rPr>
          <w:rFonts w:eastAsiaTheme="minorEastAsia"/>
          <w:color w:val="0070C0"/>
        </w:rPr>
      </w:pPr>
      <w:r w:rsidRPr="1ACEEE3D">
        <w:rPr>
          <w:rFonts w:eastAsiaTheme="minorEastAsia"/>
          <w:color w:val="0070C0"/>
        </w:rPr>
        <w:t>Residents should be encouraged to ask trusted mentors or advisors to review their personal statements and advise on the application process. Schedule requests for third year should assure some flexibility (e.g. electives, vacation) during the interview season</w:t>
      </w:r>
      <w:r w:rsidR="00F50F76">
        <w:rPr>
          <w:rFonts w:eastAsiaTheme="minorEastAsia"/>
          <w:color w:val="0070C0"/>
        </w:rPr>
        <w:t xml:space="preserve"> (late summer, early fall)</w:t>
      </w:r>
      <w:r w:rsidRPr="1ACEEE3D">
        <w:rPr>
          <w:rFonts w:eastAsiaTheme="minorEastAsia"/>
          <w:color w:val="0070C0"/>
        </w:rPr>
        <w:t>.</w:t>
      </w:r>
    </w:p>
    <w:p w14:paraId="65D47794" w14:textId="422C2E4F" w:rsidR="2E2AF943" w:rsidRDefault="2E2AF943" w:rsidP="2E2AF943">
      <w:pPr>
        <w:spacing w:after="0"/>
        <w:contextualSpacing/>
        <w:rPr>
          <w:rFonts w:eastAsiaTheme="minorEastAsia"/>
          <w:color w:val="0070C0"/>
        </w:rPr>
      </w:pPr>
    </w:p>
    <w:p w14:paraId="77281B46" w14:textId="369E0E96" w:rsidR="00EE54BE" w:rsidRPr="00640774" w:rsidRDefault="4B4815A3" w:rsidP="00EE54BE">
      <w:pPr>
        <w:spacing w:after="0"/>
        <w:contextualSpacing/>
        <w:rPr>
          <w:rFonts w:ascii="Cambria" w:hAnsi="Cambria"/>
          <w:color w:val="0070C0"/>
          <w:sz w:val="28"/>
          <w:szCs w:val="28"/>
        </w:rPr>
      </w:pPr>
      <w:r w:rsidRPr="4B4815A3">
        <w:rPr>
          <w:rFonts w:ascii="Cambria" w:hAnsi="Cambria"/>
          <w:color w:val="0070C0"/>
          <w:sz w:val="28"/>
          <w:szCs w:val="28"/>
        </w:rPr>
        <w:t>Understanding the Job Search Process and Developing a Timeline</w:t>
      </w:r>
    </w:p>
    <w:p w14:paraId="18C6B988" w14:textId="25C18783" w:rsidR="00C805A9" w:rsidRDefault="00EE54BE" w:rsidP="00EE54BE">
      <w:pPr>
        <w:spacing w:after="0"/>
        <w:contextualSpacing/>
        <w:rPr>
          <w:rFonts w:cstheme="minorHAnsi"/>
          <w:color w:val="161719"/>
          <w:shd w:val="clear" w:color="auto" w:fill="FFFFFF"/>
        </w:rPr>
      </w:pPr>
      <w:r>
        <w:rPr>
          <w:rFonts w:cstheme="minorHAnsi"/>
          <w:color w:val="000000" w:themeColor="text1"/>
        </w:rPr>
        <w:t xml:space="preserve">Residents should have a comprehensive understanding of the steps involved in securing employment to be successful and avoid undue stress and anxiety. A well-structured career plan involves </w:t>
      </w:r>
      <w:r w:rsidRPr="00EE54BE">
        <w:rPr>
          <w:rFonts w:cstheme="minorHAnsi"/>
          <w:color w:val="161719"/>
          <w:shd w:val="clear" w:color="auto" w:fill="FFFFFF"/>
        </w:rPr>
        <w:t>creating a personalized timeline and finding a mentor who can guide the resident through the process.</w:t>
      </w:r>
      <w:r w:rsidR="00CA6BEF">
        <w:rPr>
          <w:rFonts w:cstheme="minorHAnsi"/>
          <w:color w:val="161719"/>
          <w:shd w:val="clear" w:color="auto" w:fill="FFFFFF"/>
        </w:rPr>
        <w:t xml:space="preserve"> </w:t>
      </w:r>
      <w:r w:rsidR="00CA6BEF" w:rsidRPr="00CA6BEF">
        <w:rPr>
          <w:rFonts w:cstheme="minorHAnsi"/>
          <w:color w:val="161719"/>
          <w:shd w:val="clear" w:color="auto" w:fill="FFFFFF"/>
        </w:rPr>
        <w:t xml:space="preserve">A sample timeline for career planning </w:t>
      </w:r>
      <w:r w:rsidR="00CA6BEF">
        <w:rPr>
          <w:rFonts w:cstheme="minorHAnsi"/>
          <w:color w:val="161719"/>
          <w:shd w:val="clear" w:color="auto" w:fill="FFFFFF"/>
        </w:rPr>
        <w:t xml:space="preserve">is shown below and </w:t>
      </w:r>
      <w:r w:rsidR="00CA6BEF" w:rsidRPr="00CA6BEF">
        <w:rPr>
          <w:rFonts w:cstheme="minorHAnsi"/>
          <w:color w:val="161719"/>
          <w:shd w:val="clear" w:color="auto" w:fill="FFFFFF"/>
        </w:rPr>
        <w:t xml:space="preserve">can help </w:t>
      </w:r>
      <w:r w:rsidR="00CA6BEF">
        <w:rPr>
          <w:rFonts w:cstheme="minorHAnsi"/>
          <w:color w:val="161719"/>
          <w:shd w:val="clear" w:color="auto" w:fill="FFFFFF"/>
        </w:rPr>
        <w:t>residents</w:t>
      </w:r>
      <w:r w:rsidR="00CA6BEF" w:rsidRPr="00CA6BEF">
        <w:rPr>
          <w:rFonts w:cstheme="minorHAnsi"/>
          <w:color w:val="161719"/>
          <w:shd w:val="clear" w:color="auto" w:fill="FFFFFF"/>
        </w:rPr>
        <w:t xml:space="preserve"> stay on track and </w:t>
      </w:r>
      <w:r w:rsidR="00CA0AF6">
        <w:rPr>
          <w:rFonts w:cstheme="minorHAnsi"/>
          <w:color w:val="161719"/>
          <w:shd w:val="clear" w:color="auto" w:fill="FFFFFF"/>
        </w:rPr>
        <w:t>make informed career decisions</w:t>
      </w:r>
      <w:r w:rsidR="00D83ABC">
        <w:rPr>
          <w:rFonts w:cstheme="minorHAnsi"/>
          <w:color w:val="161719"/>
          <w:shd w:val="clear" w:color="auto" w:fill="FFFFFF"/>
        </w:rPr>
        <w:t xml:space="preserve"> (Table 1)</w:t>
      </w:r>
      <w:r w:rsidR="00CA0AF6">
        <w:rPr>
          <w:rFonts w:cstheme="minorHAnsi"/>
          <w:color w:val="161719"/>
          <w:shd w:val="clear" w:color="auto" w:fill="FFFFFF"/>
        </w:rPr>
        <w:t>.</w:t>
      </w:r>
      <w:r w:rsidR="00D87E7E">
        <w:rPr>
          <w:rFonts w:cstheme="minorHAnsi"/>
          <w:color w:val="161719"/>
          <w:shd w:val="clear" w:color="auto" w:fill="FFFFFF"/>
        </w:rPr>
        <w:t xml:space="preserve"> Highlighted areas will have additional information.</w:t>
      </w:r>
    </w:p>
    <w:tbl>
      <w:tblPr>
        <w:tblStyle w:val="GridTable4-Accent1"/>
        <w:tblpPr w:leftFromText="180" w:rightFromText="180" w:vertAnchor="text" w:horzAnchor="margin" w:tblpY="605"/>
        <w:tblW w:w="9535" w:type="dxa"/>
        <w:tblLook w:val="04A0" w:firstRow="1" w:lastRow="0" w:firstColumn="1" w:lastColumn="0" w:noHBand="0" w:noVBand="1"/>
      </w:tblPr>
      <w:tblGrid>
        <w:gridCol w:w="1229"/>
        <w:gridCol w:w="1658"/>
        <w:gridCol w:w="6648"/>
      </w:tblGrid>
      <w:tr w:rsidR="00CA0AF6" w:rsidRPr="009371A1" w14:paraId="4EEBCA0D" w14:textId="77777777" w:rsidTr="59C52A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35" w:type="dxa"/>
            <w:gridSpan w:val="3"/>
            <w:shd w:val="clear" w:color="auto" w:fill="FFFFFF" w:themeFill="background1"/>
          </w:tcPr>
          <w:p w14:paraId="02DF6329" w14:textId="66F4F234" w:rsidR="00CA0AF6" w:rsidRPr="009371A1" w:rsidRDefault="00CA0AF6" w:rsidP="00CA0AF6">
            <w:pPr>
              <w:jc w:val="center"/>
              <w:rPr>
                <w:rFonts w:cstheme="minorHAnsi"/>
                <w:color w:val="000000" w:themeColor="text1"/>
                <w:sz w:val="20"/>
                <w:szCs w:val="20"/>
              </w:rPr>
            </w:pPr>
            <w:r w:rsidRPr="009371A1">
              <w:rPr>
                <w:rFonts w:cstheme="minorHAnsi"/>
                <w:color w:val="000000" w:themeColor="text1"/>
                <w:sz w:val="20"/>
                <w:szCs w:val="20"/>
              </w:rPr>
              <w:t>SAMPLE CAREER PLANNING TIMELINE FOR RESIDENTS</w:t>
            </w:r>
            <w:r w:rsidR="00D83ABC">
              <w:rPr>
                <w:rFonts w:cstheme="minorHAnsi"/>
                <w:color w:val="000000" w:themeColor="text1"/>
                <w:sz w:val="20"/>
                <w:szCs w:val="20"/>
              </w:rPr>
              <w:t xml:space="preserve"> (Table 1)</w:t>
            </w:r>
          </w:p>
        </w:tc>
      </w:tr>
      <w:tr w:rsidR="00CA0AF6" w:rsidRPr="009371A1" w14:paraId="4D131D44" w14:textId="058959BC" w:rsidTr="59C52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9" w:type="dxa"/>
          </w:tcPr>
          <w:p w14:paraId="7AC8847A" w14:textId="77777777" w:rsidR="00CA0AF6" w:rsidRPr="009371A1" w:rsidRDefault="00CA0AF6" w:rsidP="00C805A9">
            <w:pPr>
              <w:rPr>
                <w:rFonts w:cstheme="minorHAnsi"/>
                <w:b w:val="0"/>
                <w:bCs w:val="0"/>
                <w:color w:val="000000" w:themeColor="text1"/>
                <w:sz w:val="20"/>
                <w:szCs w:val="20"/>
              </w:rPr>
            </w:pPr>
            <w:r w:rsidRPr="009371A1">
              <w:rPr>
                <w:rFonts w:cstheme="minorHAnsi"/>
                <w:b w:val="0"/>
                <w:bCs w:val="0"/>
                <w:color w:val="000000" w:themeColor="text1"/>
                <w:sz w:val="20"/>
                <w:szCs w:val="20"/>
              </w:rPr>
              <w:lastRenderedPageBreak/>
              <w:t>Months Prior to Graduation</w:t>
            </w:r>
          </w:p>
        </w:tc>
        <w:tc>
          <w:tcPr>
            <w:tcW w:w="1658" w:type="dxa"/>
          </w:tcPr>
          <w:p w14:paraId="798F37A6" w14:textId="77777777" w:rsidR="00CA0AF6" w:rsidRPr="009371A1" w:rsidRDefault="00CA0AF6" w:rsidP="00C805A9">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9371A1">
              <w:rPr>
                <w:rFonts w:cstheme="minorHAnsi"/>
                <w:color w:val="000000" w:themeColor="text1"/>
                <w:sz w:val="20"/>
                <w:szCs w:val="20"/>
              </w:rPr>
              <w:t>Steps</w:t>
            </w:r>
          </w:p>
        </w:tc>
        <w:tc>
          <w:tcPr>
            <w:tcW w:w="6648" w:type="dxa"/>
          </w:tcPr>
          <w:p w14:paraId="0656DAC3" w14:textId="77777777" w:rsidR="00CA0AF6" w:rsidRPr="009371A1" w:rsidRDefault="00CA0AF6" w:rsidP="00C805A9">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9371A1">
              <w:rPr>
                <w:rFonts w:cstheme="minorHAnsi"/>
                <w:color w:val="000000" w:themeColor="text1"/>
                <w:sz w:val="20"/>
                <w:szCs w:val="20"/>
              </w:rPr>
              <w:t>Details</w:t>
            </w:r>
          </w:p>
        </w:tc>
      </w:tr>
      <w:tr w:rsidR="00CA0AF6" w:rsidRPr="009371A1" w14:paraId="6BF9BE87" w14:textId="3013E854" w:rsidTr="59C52A98">
        <w:tc>
          <w:tcPr>
            <w:cnfStyle w:val="001000000000" w:firstRow="0" w:lastRow="0" w:firstColumn="1" w:lastColumn="0" w:oddVBand="0" w:evenVBand="0" w:oddHBand="0" w:evenHBand="0" w:firstRowFirstColumn="0" w:firstRowLastColumn="0" w:lastRowFirstColumn="0" w:lastRowLastColumn="0"/>
            <w:tcW w:w="1229" w:type="dxa"/>
          </w:tcPr>
          <w:p w14:paraId="71569CE8" w14:textId="77777777" w:rsidR="00CA0AF6" w:rsidRPr="00EC346F" w:rsidRDefault="00CA0AF6" w:rsidP="00C805A9">
            <w:pPr>
              <w:rPr>
                <w:rFonts w:cstheme="minorHAnsi"/>
                <w:b w:val="0"/>
                <w:bCs w:val="0"/>
                <w:color w:val="000000" w:themeColor="text1"/>
                <w:sz w:val="20"/>
                <w:szCs w:val="20"/>
              </w:rPr>
            </w:pPr>
            <w:r w:rsidRPr="00EC346F">
              <w:rPr>
                <w:rFonts w:cstheme="minorHAnsi"/>
                <w:b w:val="0"/>
                <w:bCs w:val="0"/>
                <w:color w:val="000000" w:themeColor="text1"/>
                <w:sz w:val="20"/>
                <w:szCs w:val="20"/>
              </w:rPr>
              <w:t>18-24 mo</w:t>
            </w:r>
          </w:p>
        </w:tc>
        <w:tc>
          <w:tcPr>
            <w:tcW w:w="1658" w:type="dxa"/>
          </w:tcPr>
          <w:p w14:paraId="22CE5D01" w14:textId="77777777" w:rsidR="00CA0AF6" w:rsidRPr="009371A1" w:rsidRDefault="00CA0AF6" w:rsidP="00C805A9">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9371A1">
              <w:rPr>
                <w:rFonts w:cstheme="minorHAnsi"/>
                <w:color w:val="000000" w:themeColor="text1"/>
                <w:sz w:val="20"/>
                <w:szCs w:val="20"/>
              </w:rPr>
              <w:t>Determine Timeline</w:t>
            </w:r>
          </w:p>
        </w:tc>
        <w:tc>
          <w:tcPr>
            <w:tcW w:w="6648" w:type="dxa"/>
          </w:tcPr>
          <w:p w14:paraId="61D2B86B" w14:textId="77777777" w:rsidR="00CA0AF6" w:rsidRPr="009371A1" w:rsidRDefault="00CA0AF6" w:rsidP="00C805A9">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9371A1">
              <w:rPr>
                <w:rFonts w:cstheme="minorHAnsi"/>
                <w:color w:val="000000" w:themeColor="text1"/>
                <w:sz w:val="20"/>
                <w:szCs w:val="20"/>
              </w:rPr>
              <w:t>Understand the timeline and variability based on visa status, clinical rotations, life circumstances, etc.</w:t>
            </w:r>
          </w:p>
        </w:tc>
      </w:tr>
      <w:tr w:rsidR="00CA0AF6" w:rsidRPr="009371A1" w14:paraId="436648FE" w14:textId="416EB46D" w:rsidTr="59C52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9" w:type="dxa"/>
          </w:tcPr>
          <w:p w14:paraId="670F4331" w14:textId="77777777" w:rsidR="00CA0AF6" w:rsidRPr="00EC346F" w:rsidRDefault="00CA0AF6" w:rsidP="00C805A9">
            <w:pPr>
              <w:rPr>
                <w:rFonts w:cstheme="minorHAnsi"/>
                <w:b w:val="0"/>
                <w:bCs w:val="0"/>
                <w:color w:val="000000" w:themeColor="text1"/>
                <w:sz w:val="20"/>
                <w:szCs w:val="20"/>
              </w:rPr>
            </w:pPr>
          </w:p>
        </w:tc>
        <w:tc>
          <w:tcPr>
            <w:tcW w:w="1658" w:type="dxa"/>
          </w:tcPr>
          <w:p w14:paraId="4F919C45" w14:textId="77777777" w:rsidR="00CA0AF6" w:rsidRPr="009371A1" w:rsidRDefault="00CA0AF6" w:rsidP="00C805A9">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p>
        </w:tc>
        <w:tc>
          <w:tcPr>
            <w:tcW w:w="6648" w:type="dxa"/>
          </w:tcPr>
          <w:p w14:paraId="2024EB5E" w14:textId="77777777" w:rsidR="00CA0AF6" w:rsidRPr="009371A1" w:rsidRDefault="00CA0AF6" w:rsidP="00C805A9">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9371A1">
              <w:rPr>
                <w:rFonts w:cstheme="minorHAnsi"/>
                <w:color w:val="000000" w:themeColor="text1"/>
                <w:sz w:val="20"/>
                <w:szCs w:val="20"/>
              </w:rPr>
              <w:t>Know when to start applying and plan time periods to interview during residency</w:t>
            </w:r>
          </w:p>
        </w:tc>
      </w:tr>
      <w:tr w:rsidR="00CA0AF6" w:rsidRPr="009371A1" w14:paraId="547F48BA" w14:textId="2F491F6E" w:rsidTr="59C52A98">
        <w:tc>
          <w:tcPr>
            <w:cnfStyle w:val="001000000000" w:firstRow="0" w:lastRow="0" w:firstColumn="1" w:lastColumn="0" w:oddVBand="0" w:evenVBand="0" w:oddHBand="0" w:evenHBand="0" w:firstRowFirstColumn="0" w:firstRowLastColumn="0" w:lastRowFirstColumn="0" w:lastRowLastColumn="0"/>
            <w:tcW w:w="1229" w:type="dxa"/>
          </w:tcPr>
          <w:p w14:paraId="460B1BEE" w14:textId="77777777" w:rsidR="00CA0AF6" w:rsidRPr="00EC346F" w:rsidRDefault="00CA0AF6" w:rsidP="00C805A9">
            <w:pPr>
              <w:rPr>
                <w:rFonts w:cstheme="minorHAnsi"/>
                <w:b w:val="0"/>
                <w:bCs w:val="0"/>
                <w:color w:val="000000" w:themeColor="text1"/>
                <w:sz w:val="20"/>
                <w:szCs w:val="20"/>
              </w:rPr>
            </w:pPr>
            <w:r w:rsidRPr="00EC346F">
              <w:rPr>
                <w:rFonts w:cstheme="minorHAnsi"/>
                <w:b w:val="0"/>
                <w:bCs w:val="0"/>
                <w:color w:val="000000" w:themeColor="text1"/>
                <w:sz w:val="20"/>
                <w:szCs w:val="20"/>
              </w:rPr>
              <w:t>12-18 mo</w:t>
            </w:r>
          </w:p>
        </w:tc>
        <w:tc>
          <w:tcPr>
            <w:tcW w:w="1658" w:type="dxa"/>
          </w:tcPr>
          <w:p w14:paraId="333B4344" w14:textId="3FAB0EFC" w:rsidR="00CA0AF6" w:rsidRPr="009371A1" w:rsidRDefault="00643098" w:rsidP="00C805A9">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9371A1">
              <w:rPr>
                <w:rFonts w:cstheme="minorHAnsi"/>
                <w:color w:val="000000" w:themeColor="text1"/>
                <w:sz w:val="20"/>
                <w:szCs w:val="20"/>
              </w:rPr>
              <w:t>Self-</w:t>
            </w:r>
            <w:r w:rsidR="00CA0AF6" w:rsidRPr="009371A1">
              <w:rPr>
                <w:rFonts w:cstheme="minorHAnsi"/>
                <w:color w:val="000000" w:themeColor="text1"/>
                <w:sz w:val="20"/>
                <w:szCs w:val="20"/>
              </w:rPr>
              <w:t>Reflection on Priorities</w:t>
            </w:r>
          </w:p>
        </w:tc>
        <w:tc>
          <w:tcPr>
            <w:tcW w:w="6648" w:type="dxa"/>
          </w:tcPr>
          <w:p w14:paraId="03905E53" w14:textId="42C3672F" w:rsidR="00CA0AF6" w:rsidRPr="009371A1" w:rsidRDefault="00CA0AF6" w:rsidP="00C805A9">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9371A1">
              <w:rPr>
                <w:rFonts w:cstheme="minorHAnsi"/>
                <w:color w:val="000000" w:themeColor="text1"/>
                <w:sz w:val="20"/>
                <w:szCs w:val="20"/>
              </w:rPr>
              <w:t xml:space="preserve">Desired Practice Type (Private/academic) </w:t>
            </w:r>
            <w:r w:rsidR="008D2DC4">
              <w:rPr>
                <w:rFonts w:cstheme="minorHAnsi"/>
                <w:color w:val="000000" w:themeColor="text1"/>
                <w:sz w:val="20"/>
                <w:szCs w:val="20"/>
              </w:rPr>
              <w:t xml:space="preserve">(hospital employee/single specialty/multi-specialty) </w:t>
            </w:r>
          </w:p>
        </w:tc>
      </w:tr>
      <w:tr w:rsidR="00CA0AF6" w:rsidRPr="009371A1" w14:paraId="1FF519B7" w14:textId="0B36D3BD" w:rsidTr="59C52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9" w:type="dxa"/>
          </w:tcPr>
          <w:p w14:paraId="3215F8B7" w14:textId="77777777" w:rsidR="00CA0AF6" w:rsidRPr="00EC346F" w:rsidRDefault="00CA0AF6" w:rsidP="00C805A9">
            <w:pPr>
              <w:rPr>
                <w:rFonts w:cstheme="minorHAnsi"/>
                <w:b w:val="0"/>
                <w:bCs w:val="0"/>
                <w:color w:val="000000" w:themeColor="text1"/>
                <w:sz w:val="20"/>
                <w:szCs w:val="20"/>
              </w:rPr>
            </w:pPr>
          </w:p>
        </w:tc>
        <w:tc>
          <w:tcPr>
            <w:tcW w:w="1658" w:type="dxa"/>
          </w:tcPr>
          <w:p w14:paraId="0FF34299" w14:textId="77777777" w:rsidR="00CA0AF6" w:rsidRPr="009371A1" w:rsidRDefault="00CA0AF6" w:rsidP="00C805A9">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p>
        </w:tc>
        <w:tc>
          <w:tcPr>
            <w:tcW w:w="6648" w:type="dxa"/>
          </w:tcPr>
          <w:p w14:paraId="024EB151" w14:textId="51D1ACBC" w:rsidR="00CA0AF6" w:rsidRPr="009371A1" w:rsidRDefault="00CA0AF6" w:rsidP="00C805A9">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9371A1">
              <w:rPr>
                <w:rFonts w:cstheme="minorHAnsi"/>
                <w:color w:val="000000" w:themeColor="text1"/>
                <w:sz w:val="20"/>
                <w:szCs w:val="20"/>
              </w:rPr>
              <w:t>Desired Practice Setting (Inpatient/Outpatient</w:t>
            </w:r>
            <w:r w:rsidR="008D2DC4">
              <w:rPr>
                <w:rFonts w:cstheme="minorHAnsi"/>
                <w:color w:val="000000" w:themeColor="text1"/>
                <w:sz w:val="20"/>
                <w:szCs w:val="20"/>
              </w:rPr>
              <w:t>/Mix</w:t>
            </w:r>
            <w:r w:rsidRPr="009371A1">
              <w:rPr>
                <w:rFonts w:cstheme="minorHAnsi"/>
                <w:color w:val="000000" w:themeColor="text1"/>
                <w:sz w:val="20"/>
                <w:szCs w:val="20"/>
              </w:rPr>
              <w:t xml:space="preserve">) </w:t>
            </w:r>
            <w:r w:rsidR="008D2DC4">
              <w:rPr>
                <w:rFonts w:cstheme="minorHAnsi"/>
                <w:color w:val="000000" w:themeColor="text1"/>
                <w:sz w:val="20"/>
                <w:szCs w:val="20"/>
              </w:rPr>
              <w:t>(Urban/Rural)</w:t>
            </w:r>
          </w:p>
        </w:tc>
      </w:tr>
      <w:tr w:rsidR="00CA0AF6" w:rsidRPr="009371A1" w14:paraId="2A47218A" w14:textId="425FC407" w:rsidTr="59C52A98">
        <w:tc>
          <w:tcPr>
            <w:cnfStyle w:val="001000000000" w:firstRow="0" w:lastRow="0" w:firstColumn="1" w:lastColumn="0" w:oddVBand="0" w:evenVBand="0" w:oddHBand="0" w:evenHBand="0" w:firstRowFirstColumn="0" w:firstRowLastColumn="0" w:lastRowFirstColumn="0" w:lastRowLastColumn="0"/>
            <w:tcW w:w="1229" w:type="dxa"/>
          </w:tcPr>
          <w:p w14:paraId="18E8382F" w14:textId="77777777" w:rsidR="00CA0AF6" w:rsidRPr="00EC346F" w:rsidRDefault="00CA0AF6" w:rsidP="00C805A9">
            <w:pPr>
              <w:rPr>
                <w:rFonts w:cstheme="minorHAnsi"/>
                <w:b w:val="0"/>
                <w:bCs w:val="0"/>
                <w:color w:val="000000" w:themeColor="text1"/>
                <w:sz w:val="20"/>
                <w:szCs w:val="20"/>
              </w:rPr>
            </w:pPr>
          </w:p>
        </w:tc>
        <w:tc>
          <w:tcPr>
            <w:tcW w:w="1658" w:type="dxa"/>
          </w:tcPr>
          <w:p w14:paraId="1FC01E1F" w14:textId="77777777" w:rsidR="00CA0AF6" w:rsidRPr="009371A1" w:rsidRDefault="00CA0AF6" w:rsidP="00C805A9">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p>
        </w:tc>
        <w:tc>
          <w:tcPr>
            <w:tcW w:w="6648" w:type="dxa"/>
          </w:tcPr>
          <w:p w14:paraId="285043D6" w14:textId="77777777" w:rsidR="00CA0AF6" w:rsidRPr="009371A1" w:rsidRDefault="00CA0AF6" w:rsidP="00C805A9">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9371A1">
              <w:rPr>
                <w:rFonts w:cstheme="minorHAnsi"/>
                <w:color w:val="000000" w:themeColor="text1"/>
                <w:sz w:val="20"/>
                <w:szCs w:val="20"/>
              </w:rPr>
              <w:t>Desired location (patient population, needs of family, proximity to family, recreation, schools)</w:t>
            </w:r>
          </w:p>
        </w:tc>
      </w:tr>
      <w:tr w:rsidR="00CA0AF6" w:rsidRPr="009371A1" w14:paraId="4C14E92E" w14:textId="32231BAE" w:rsidTr="59C52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9" w:type="dxa"/>
          </w:tcPr>
          <w:p w14:paraId="3456C335" w14:textId="77777777" w:rsidR="00CA0AF6" w:rsidRPr="00EC346F" w:rsidRDefault="00CA0AF6" w:rsidP="00C805A9">
            <w:pPr>
              <w:rPr>
                <w:rFonts w:cstheme="minorHAnsi"/>
                <w:b w:val="0"/>
                <w:bCs w:val="0"/>
                <w:color w:val="000000" w:themeColor="text1"/>
                <w:sz w:val="20"/>
                <w:szCs w:val="20"/>
              </w:rPr>
            </w:pPr>
          </w:p>
        </w:tc>
        <w:tc>
          <w:tcPr>
            <w:tcW w:w="1658" w:type="dxa"/>
          </w:tcPr>
          <w:p w14:paraId="7F8B94C1" w14:textId="77777777" w:rsidR="00CA0AF6" w:rsidRPr="009371A1" w:rsidRDefault="00CA0AF6" w:rsidP="00C805A9">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p>
        </w:tc>
        <w:tc>
          <w:tcPr>
            <w:tcW w:w="6648" w:type="dxa"/>
          </w:tcPr>
          <w:p w14:paraId="28D69B6A" w14:textId="77777777" w:rsidR="00CA0AF6" w:rsidRPr="009371A1" w:rsidRDefault="00CA0AF6" w:rsidP="00C805A9">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9371A1">
              <w:rPr>
                <w:rFonts w:cstheme="minorHAnsi"/>
                <w:color w:val="000000" w:themeColor="text1"/>
                <w:sz w:val="20"/>
                <w:szCs w:val="20"/>
              </w:rPr>
              <w:t>Education, research, teaching, and leadership opportunities</w:t>
            </w:r>
          </w:p>
        </w:tc>
      </w:tr>
      <w:tr w:rsidR="00CA0AF6" w:rsidRPr="009371A1" w14:paraId="5633C118" w14:textId="2D98081E" w:rsidTr="59C52A98">
        <w:tc>
          <w:tcPr>
            <w:cnfStyle w:val="001000000000" w:firstRow="0" w:lastRow="0" w:firstColumn="1" w:lastColumn="0" w:oddVBand="0" w:evenVBand="0" w:oddHBand="0" w:evenHBand="0" w:firstRowFirstColumn="0" w:firstRowLastColumn="0" w:lastRowFirstColumn="0" w:lastRowLastColumn="0"/>
            <w:tcW w:w="1229" w:type="dxa"/>
          </w:tcPr>
          <w:p w14:paraId="594261FA" w14:textId="77777777" w:rsidR="00CA0AF6" w:rsidRPr="00EC346F" w:rsidRDefault="00CA0AF6" w:rsidP="00C805A9">
            <w:pPr>
              <w:rPr>
                <w:rFonts w:cstheme="minorHAnsi"/>
                <w:b w:val="0"/>
                <w:bCs w:val="0"/>
                <w:color w:val="000000" w:themeColor="text1"/>
                <w:sz w:val="20"/>
                <w:szCs w:val="20"/>
              </w:rPr>
            </w:pPr>
          </w:p>
        </w:tc>
        <w:tc>
          <w:tcPr>
            <w:tcW w:w="1658" w:type="dxa"/>
          </w:tcPr>
          <w:p w14:paraId="62B58C9C" w14:textId="77777777" w:rsidR="00CA0AF6" w:rsidRPr="009371A1" w:rsidRDefault="00CA0AF6" w:rsidP="00C805A9">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p>
        </w:tc>
        <w:tc>
          <w:tcPr>
            <w:tcW w:w="6648" w:type="dxa"/>
          </w:tcPr>
          <w:p w14:paraId="69E01FE0" w14:textId="2CA896E6" w:rsidR="00CA0AF6" w:rsidRPr="009371A1" w:rsidRDefault="00CA0AF6" w:rsidP="00C805A9">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9371A1">
              <w:rPr>
                <w:rFonts w:cstheme="minorHAnsi"/>
                <w:color w:val="000000" w:themeColor="text1"/>
                <w:sz w:val="20"/>
                <w:szCs w:val="20"/>
              </w:rPr>
              <w:t>Compensation</w:t>
            </w:r>
            <w:r w:rsidR="00643098" w:rsidRPr="009371A1">
              <w:rPr>
                <w:rFonts w:cstheme="minorHAnsi"/>
                <w:color w:val="000000" w:themeColor="text1"/>
                <w:sz w:val="20"/>
                <w:szCs w:val="20"/>
              </w:rPr>
              <w:t xml:space="preserve"> </w:t>
            </w:r>
            <w:r w:rsidR="008D2DC4">
              <w:rPr>
                <w:rFonts w:cstheme="minorHAnsi"/>
                <w:color w:val="000000" w:themeColor="text1"/>
                <w:sz w:val="20"/>
                <w:szCs w:val="20"/>
              </w:rPr>
              <w:t>(Income guarantee, salary with productivity bonus)</w:t>
            </w:r>
          </w:p>
        </w:tc>
      </w:tr>
      <w:tr w:rsidR="00CA0AF6" w:rsidRPr="009371A1" w14:paraId="5C51AB96" w14:textId="06731CD6" w:rsidTr="59C52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9" w:type="dxa"/>
          </w:tcPr>
          <w:p w14:paraId="1A83A511" w14:textId="77777777" w:rsidR="00CA0AF6" w:rsidRPr="00EC346F" w:rsidRDefault="00CA0AF6" w:rsidP="00C805A9">
            <w:pPr>
              <w:rPr>
                <w:rFonts w:cstheme="minorHAnsi"/>
                <w:b w:val="0"/>
                <w:bCs w:val="0"/>
                <w:color w:val="000000" w:themeColor="text1"/>
                <w:sz w:val="20"/>
                <w:szCs w:val="20"/>
              </w:rPr>
            </w:pPr>
          </w:p>
        </w:tc>
        <w:tc>
          <w:tcPr>
            <w:tcW w:w="1658" w:type="dxa"/>
          </w:tcPr>
          <w:p w14:paraId="47602D81" w14:textId="77777777" w:rsidR="00CA0AF6" w:rsidRPr="009371A1" w:rsidRDefault="00CA0AF6" w:rsidP="00C805A9">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p>
        </w:tc>
        <w:tc>
          <w:tcPr>
            <w:tcW w:w="6648" w:type="dxa"/>
          </w:tcPr>
          <w:p w14:paraId="4FBE8DC5" w14:textId="77777777" w:rsidR="00CA0AF6" w:rsidRPr="009371A1" w:rsidRDefault="00CA0AF6" w:rsidP="00C805A9">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9371A1">
              <w:rPr>
                <w:rFonts w:cstheme="minorHAnsi"/>
                <w:color w:val="000000" w:themeColor="text1"/>
                <w:sz w:val="20"/>
                <w:szCs w:val="20"/>
              </w:rPr>
              <w:t>Availability of loan forgiveness or repayment programs</w:t>
            </w:r>
          </w:p>
        </w:tc>
      </w:tr>
      <w:tr w:rsidR="00CA0AF6" w:rsidRPr="009371A1" w14:paraId="751AF210" w14:textId="0E3F530E" w:rsidTr="59C52A98">
        <w:tc>
          <w:tcPr>
            <w:cnfStyle w:val="001000000000" w:firstRow="0" w:lastRow="0" w:firstColumn="1" w:lastColumn="0" w:oddVBand="0" w:evenVBand="0" w:oddHBand="0" w:evenHBand="0" w:firstRowFirstColumn="0" w:firstRowLastColumn="0" w:lastRowFirstColumn="0" w:lastRowLastColumn="0"/>
            <w:tcW w:w="1229" w:type="dxa"/>
          </w:tcPr>
          <w:p w14:paraId="44307E59" w14:textId="77777777" w:rsidR="00CA0AF6" w:rsidRPr="00EC346F" w:rsidRDefault="00CA0AF6" w:rsidP="00C805A9">
            <w:pPr>
              <w:rPr>
                <w:rFonts w:cstheme="minorHAnsi"/>
                <w:b w:val="0"/>
                <w:bCs w:val="0"/>
                <w:color w:val="000000" w:themeColor="text1"/>
                <w:sz w:val="20"/>
                <w:szCs w:val="20"/>
              </w:rPr>
            </w:pPr>
          </w:p>
        </w:tc>
        <w:tc>
          <w:tcPr>
            <w:tcW w:w="1658" w:type="dxa"/>
          </w:tcPr>
          <w:p w14:paraId="136BE28B" w14:textId="77777777" w:rsidR="00CA0AF6" w:rsidRPr="009371A1" w:rsidRDefault="00CA0AF6" w:rsidP="00C805A9">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p>
        </w:tc>
        <w:tc>
          <w:tcPr>
            <w:tcW w:w="6648" w:type="dxa"/>
          </w:tcPr>
          <w:p w14:paraId="2CDEA98B" w14:textId="77777777" w:rsidR="00CA0AF6" w:rsidRPr="009371A1" w:rsidRDefault="00CA0AF6" w:rsidP="00C805A9">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9371A1">
              <w:rPr>
                <w:rFonts w:cstheme="minorHAnsi"/>
                <w:color w:val="000000" w:themeColor="text1"/>
                <w:sz w:val="20"/>
                <w:szCs w:val="20"/>
              </w:rPr>
              <w:t>Consider what you are willing to negotiate on</w:t>
            </w:r>
          </w:p>
        </w:tc>
      </w:tr>
      <w:tr w:rsidR="00CA0AF6" w:rsidRPr="009371A1" w14:paraId="47012A13" w14:textId="008FD88E" w:rsidTr="59C52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9" w:type="dxa"/>
          </w:tcPr>
          <w:p w14:paraId="25C55556" w14:textId="77777777" w:rsidR="00CA0AF6" w:rsidRPr="00EC346F" w:rsidRDefault="00CA0AF6" w:rsidP="00C805A9">
            <w:pPr>
              <w:rPr>
                <w:rFonts w:cstheme="minorHAnsi"/>
                <w:b w:val="0"/>
                <w:bCs w:val="0"/>
                <w:color w:val="000000" w:themeColor="text1"/>
                <w:sz w:val="20"/>
                <w:szCs w:val="20"/>
              </w:rPr>
            </w:pPr>
          </w:p>
        </w:tc>
        <w:tc>
          <w:tcPr>
            <w:tcW w:w="1658" w:type="dxa"/>
          </w:tcPr>
          <w:p w14:paraId="1E6791F2" w14:textId="77777777" w:rsidR="00CA0AF6" w:rsidRPr="009371A1" w:rsidRDefault="00CA0AF6" w:rsidP="00C805A9">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p>
        </w:tc>
        <w:tc>
          <w:tcPr>
            <w:tcW w:w="6648" w:type="dxa"/>
          </w:tcPr>
          <w:p w14:paraId="0656B241" w14:textId="77777777" w:rsidR="00CA0AF6" w:rsidRPr="009371A1" w:rsidRDefault="00CA0AF6" w:rsidP="00C805A9">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9371A1">
              <w:rPr>
                <w:rFonts w:cstheme="minorHAnsi"/>
                <w:color w:val="000000" w:themeColor="text1"/>
                <w:sz w:val="20"/>
                <w:szCs w:val="20"/>
              </w:rPr>
              <w:t xml:space="preserve">Know your skills and personal worth </w:t>
            </w:r>
          </w:p>
        </w:tc>
      </w:tr>
      <w:tr w:rsidR="00CA0AF6" w:rsidRPr="009371A1" w14:paraId="4E29EF46" w14:textId="4D28FD73" w:rsidTr="59C52A98">
        <w:tc>
          <w:tcPr>
            <w:cnfStyle w:val="001000000000" w:firstRow="0" w:lastRow="0" w:firstColumn="1" w:lastColumn="0" w:oddVBand="0" w:evenVBand="0" w:oddHBand="0" w:evenHBand="0" w:firstRowFirstColumn="0" w:firstRowLastColumn="0" w:lastRowFirstColumn="0" w:lastRowLastColumn="0"/>
            <w:tcW w:w="1229" w:type="dxa"/>
          </w:tcPr>
          <w:p w14:paraId="12B7F92A" w14:textId="77777777" w:rsidR="00CA0AF6" w:rsidRPr="00EC346F" w:rsidRDefault="00CA0AF6" w:rsidP="00C805A9">
            <w:pPr>
              <w:rPr>
                <w:rFonts w:cstheme="minorHAnsi"/>
                <w:b w:val="0"/>
                <w:bCs w:val="0"/>
                <w:color w:val="000000" w:themeColor="text1"/>
                <w:sz w:val="20"/>
                <w:szCs w:val="20"/>
              </w:rPr>
            </w:pPr>
          </w:p>
        </w:tc>
        <w:tc>
          <w:tcPr>
            <w:tcW w:w="1658" w:type="dxa"/>
          </w:tcPr>
          <w:p w14:paraId="36DE8711" w14:textId="77777777" w:rsidR="00CA0AF6" w:rsidRPr="009371A1" w:rsidRDefault="00CA0AF6" w:rsidP="00C805A9">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p>
        </w:tc>
        <w:tc>
          <w:tcPr>
            <w:tcW w:w="6648" w:type="dxa"/>
          </w:tcPr>
          <w:p w14:paraId="11F0639B" w14:textId="77777777" w:rsidR="00CA0AF6" w:rsidRPr="009371A1" w:rsidRDefault="00CA0AF6" w:rsidP="00C805A9">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9371A1">
              <w:rPr>
                <w:rFonts w:cstheme="minorHAnsi"/>
                <w:color w:val="000000" w:themeColor="text1"/>
                <w:sz w:val="20"/>
                <w:szCs w:val="20"/>
              </w:rPr>
              <w:t>Understand what employers are seeking in a candidate</w:t>
            </w:r>
          </w:p>
        </w:tc>
      </w:tr>
      <w:tr w:rsidR="00CA0AF6" w:rsidRPr="009371A1" w14:paraId="1FB2F5FE" w14:textId="099EB8B9" w:rsidTr="59C52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9" w:type="dxa"/>
          </w:tcPr>
          <w:p w14:paraId="39CD3296" w14:textId="77777777" w:rsidR="00CA0AF6" w:rsidRPr="00EC346F" w:rsidRDefault="00CA0AF6" w:rsidP="00C805A9">
            <w:pPr>
              <w:rPr>
                <w:rFonts w:cstheme="minorHAnsi"/>
                <w:b w:val="0"/>
                <w:bCs w:val="0"/>
                <w:color w:val="000000" w:themeColor="text1"/>
                <w:sz w:val="20"/>
                <w:szCs w:val="20"/>
              </w:rPr>
            </w:pPr>
            <w:r w:rsidRPr="00EC346F">
              <w:rPr>
                <w:rFonts w:cstheme="minorHAnsi"/>
                <w:b w:val="0"/>
                <w:bCs w:val="0"/>
                <w:color w:val="000000" w:themeColor="text1"/>
                <w:sz w:val="20"/>
                <w:szCs w:val="20"/>
              </w:rPr>
              <w:t>12-18mo</w:t>
            </w:r>
          </w:p>
        </w:tc>
        <w:tc>
          <w:tcPr>
            <w:tcW w:w="1658" w:type="dxa"/>
          </w:tcPr>
          <w:p w14:paraId="101A7C63" w14:textId="25934CEE" w:rsidR="00CA0AF6" w:rsidRPr="009371A1" w:rsidRDefault="00643098" w:rsidP="00C805A9">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371C53">
              <w:rPr>
                <w:rFonts w:cstheme="minorHAnsi"/>
                <w:color w:val="000000" w:themeColor="text1"/>
                <w:sz w:val="20"/>
                <w:szCs w:val="20"/>
                <w:highlight w:val="yellow"/>
              </w:rPr>
              <w:t>Build CV and Cover Letter</w:t>
            </w:r>
            <w:r w:rsidRPr="009371A1">
              <w:rPr>
                <w:rFonts w:cstheme="minorHAnsi"/>
                <w:color w:val="000000" w:themeColor="text1"/>
                <w:sz w:val="20"/>
                <w:szCs w:val="20"/>
              </w:rPr>
              <w:t xml:space="preserve"> </w:t>
            </w:r>
          </w:p>
        </w:tc>
        <w:tc>
          <w:tcPr>
            <w:tcW w:w="6648" w:type="dxa"/>
          </w:tcPr>
          <w:p w14:paraId="632297E9" w14:textId="24F1C3CB" w:rsidR="00CA0AF6" w:rsidRPr="009371A1" w:rsidRDefault="00CA0AF6" w:rsidP="00C805A9">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371C53">
              <w:rPr>
                <w:rFonts w:cstheme="minorHAnsi"/>
                <w:color w:val="000000" w:themeColor="text1"/>
                <w:sz w:val="20"/>
                <w:szCs w:val="20"/>
                <w:highlight w:val="yellow"/>
              </w:rPr>
              <w:t>Build a Curriculum Vitae and cover letter</w:t>
            </w:r>
            <w:r w:rsidRPr="009371A1">
              <w:rPr>
                <w:rFonts w:cstheme="minorHAnsi"/>
                <w:color w:val="000000" w:themeColor="text1"/>
                <w:sz w:val="20"/>
                <w:szCs w:val="20"/>
              </w:rPr>
              <w:t>.</w:t>
            </w:r>
          </w:p>
          <w:p w14:paraId="412ABD75" w14:textId="77777777" w:rsidR="00CA0AF6" w:rsidRPr="009371A1" w:rsidRDefault="00CA0AF6" w:rsidP="00C805A9">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371C53">
              <w:rPr>
                <w:rFonts w:cstheme="minorHAnsi"/>
                <w:color w:val="000000" w:themeColor="text1"/>
                <w:sz w:val="20"/>
                <w:szCs w:val="20"/>
                <w:highlight w:val="yellow"/>
              </w:rPr>
              <w:t>Identify and Obtain References</w:t>
            </w:r>
          </w:p>
        </w:tc>
      </w:tr>
      <w:tr w:rsidR="00CA0AF6" w:rsidRPr="009371A1" w14:paraId="3C24B7D2" w14:textId="7F349E23" w:rsidTr="59C52A98">
        <w:tc>
          <w:tcPr>
            <w:cnfStyle w:val="001000000000" w:firstRow="0" w:lastRow="0" w:firstColumn="1" w:lastColumn="0" w:oddVBand="0" w:evenVBand="0" w:oddHBand="0" w:evenHBand="0" w:firstRowFirstColumn="0" w:firstRowLastColumn="0" w:lastRowFirstColumn="0" w:lastRowLastColumn="0"/>
            <w:tcW w:w="1229" w:type="dxa"/>
          </w:tcPr>
          <w:p w14:paraId="2F93C580" w14:textId="16537D40" w:rsidR="00CA0AF6" w:rsidRPr="00EC346F" w:rsidRDefault="02F74304" w:rsidP="02F74304">
            <w:pPr>
              <w:rPr>
                <w:b w:val="0"/>
                <w:bCs w:val="0"/>
                <w:color w:val="000000" w:themeColor="text1"/>
                <w:sz w:val="20"/>
                <w:szCs w:val="20"/>
              </w:rPr>
            </w:pPr>
            <w:r w:rsidRPr="02F74304">
              <w:rPr>
                <w:b w:val="0"/>
                <w:bCs w:val="0"/>
                <w:color w:val="000000" w:themeColor="text1"/>
                <w:sz w:val="20"/>
                <w:szCs w:val="20"/>
              </w:rPr>
              <w:t>9-12 mo</w:t>
            </w:r>
          </w:p>
        </w:tc>
        <w:tc>
          <w:tcPr>
            <w:tcW w:w="1658" w:type="dxa"/>
          </w:tcPr>
          <w:p w14:paraId="530C8A21" w14:textId="77777777" w:rsidR="00CA0AF6" w:rsidRPr="009371A1" w:rsidRDefault="00CA0AF6" w:rsidP="00C805A9">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9371A1">
              <w:rPr>
                <w:rFonts w:cstheme="minorHAnsi"/>
                <w:color w:val="000000" w:themeColor="text1"/>
                <w:sz w:val="20"/>
                <w:szCs w:val="20"/>
              </w:rPr>
              <w:t>Strategies to Find Positions</w:t>
            </w:r>
          </w:p>
        </w:tc>
        <w:tc>
          <w:tcPr>
            <w:tcW w:w="6648" w:type="dxa"/>
          </w:tcPr>
          <w:p w14:paraId="231BEA88" w14:textId="50789618" w:rsidR="00CA0AF6" w:rsidRPr="009371A1" w:rsidRDefault="00641E7C" w:rsidP="00C805A9">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Pr>
                <w:rFonts w:cstheme="minorHAnsi"/>
                <w:color w:val="000000" w:themeColor="text1"/>
                <w:sz w:val="20"/>
                <w:szCs w:val="20"/>
              </w:rPr>
              <w:t xml:space="preserve">Job Boards: </w:t>
            </w:r>
            <w:r w:rsidR="00CA0AF6" w:rsidRPr="009371A1">
              <w:rPr>
                <w:rFonts w:cstheme="minorHAnsi"/>
                <w:color w:val="000000" w:themeColor="text1"/>
                <w:sz w:val="20"/>
                <w:szCs w:val="20"/>
              </w:rPr>
              <w:t xml:space="preserve">PedJobs, Practice Link, MD Search </w:t>
            </w:r>
          </w:p>
          <w:p w14:paraId="01013562" w14:textId="77777777" w:rsidR="00CA0AF6" w:rsidRPr="009371A1" w:rsidRDefault="00CA0AF6" w:rsidP="00C805A9">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9371A1">
              <w:rPr>
                <w:rFonts w:cstheme="minorHAnsi"/>
                <w:color w:val="000000" w:themeColor="text1"/>
                <w:sz w:val="20"/>
                <w:szCs w:val="20"/>
              </w:rPr>
              <w:t>AAP Virtual Fairs</w:t>
            </w:r>
          </w:p>
          <w:p w14:paraId="30F184F9" w14:textId="7124F364" w:rsidR="00CA0AF6" w:rsidRPr="009371A1" w:rsidRDefault="02F74304" w:rsidP="02F74304">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2F74304">
              <w:rPr>
                <w:color w:val="000000" w:themeColor="text1"/>
                <w:sz w:val="20"/>
                <w:szCs w:val="20"/>
              </w:rPr>
              <w:t>AAP Career Opportunities Guide</w:t>
            </w:r>
          </w:p>
          <w:p w14:paraId="3194B671" w14:textId="77777777" w:rsidR="00CA0AF6" w:rsidRDefault="59C52A98" w:rsidP="02F74304">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59C52A98">
              <w:rPr>
                <w:color w:val="000000" w:themeColor="text1"/>
                <w:sz w:val="20"/>
                <w:szCs w:val="20"/>
              </w:rPr>
              <w:t>AAP local chapter job boards</w:t>
            </w:r>
          </w:p>
          <w:p w14:paraId="5E5B8398" w14:textId="77777777" w:rsidR="00D87E7E" w:rsidRPr="00D87E7E" w:rsidRDefault="00D87E7E" w:rsidP="00D87E7E">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D87E7E">
              <w:rPr>
                <w:color w:val="000000" w:themeColor="text1"/>
                <w:sz w:val="20"/>
                <w:szCs w:val="20"/>
              </w:rPr>
              <w:t>Networking</w:t>
            </w:r>
          </w:p>
          <w:p w14:paraId="26699924" w14:textId="2E46977B" w:rsidR="00D87E7E" w:rsidRPr="009371A1" w:rsidRDefault="00D87E7E" w:rsidP="02F74304">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Pr>
                <w:color w:val="000000" w:themeColor="text1"/>
                <w:sz w:val="20"/>
                <w:szCs w:val="20"/>
              </w:rPr>
              <w:t>Recruiters</w:t>
            </w:r>
          </w:p>
        </w:tc>
      </w:tr>
      <w:tr w:rsidR="00CA0AF6" w:rsidRPr="009371A1" w14:paraId="3A9DF63A" w14:textId="72AA9471" w:rsidTr="59C52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9" w:type="dxa"/>
          </w:tcPr>
          <w:p w14:paraId="79361D5D" w14:textId="77777777" w:rsidR="00CA0AF6" w:rsidRPr="009371A1" w:rsidRDefault="00CA0AF6" w:rsidP="00C805A9">
            <w:pPr>
              <w:rPr>
                <w:rFonts w:cstheme="minorHAnsi"/>
                <w:color w:val="000000" w:themeColor="text1"/>
                <w:sz w:val="20"/>
                <w:szCs w:val="20"/>
              </w:rPr>
            </w:pPr>
          </w:p>
        </w:tc>
        <w:tc>
          <w:tcPr>
            <w:tcW w:w="1658" w:type="dxa"/>
          </w:tcPr>
          <w:p w14:paraId="2C118427" w14:textId="77777777" w:rsidR="00CA0AF6" w:rsidRPr="00371C53" w:rsidRDefault="00CA0AF6" w:rsidP="00C805A9">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highlight w:val="yellow"/>
              </w:rPr>
            </w:pPr>
            <w:r w:rsidRPr="00371C53">
              <w:rPr>
                <w:rFonts w:cstheme="minorHAnsi"/>
                <w:color w:val="000000" w:themeColor="text1"/>
                <w:sz w:val="20"/>
                <w:szCs w:val="20"/>
                <w:highlight w:val="yellow"/>
              </w:rPr>
              <w:t>Interview</w:t>
            </w:r>
          </w:p>
        </w:tc>
        <w:tc>
          <w:tcPr>
            <w:tcW w:w="6648" w:type="dxa"/>
          </w:tcPr>
          <w:p w14:paraId="3707A050" w14:textId="77777777" w:rsidR="00CA0AF6" w:rsidRPr="00371C53" w:rsidRDefault="00CA0AF6" w:rsidP="00C805A9">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highlight w:val="yellow"/>
              </w:rPr>
            </w:pPr>
            <w:r w:rsidRPr="00371C53">
              <w:rPr>
                <w:rFonts w:cstheme="minorHAnsi"/>
                <w:color w:val="000000" w:themeColor="text1"/>
                <w:sz w:val="20"/>
                <w:szCs w:val="20"/>
                <w:highlight w:val="yellow"/>
              </w:rPr>
              <w:t xml:space="preserve">Scheduling the interview </w:t>
            </w:r>
          </w:p>
        </w:tc>
      </w:tr>
      <w:tr w:rsidR="00CA0AF6" w:rsidRPr="009371A1" w14:paraId="465A3FF7" w14:textId="48CDDFEE" w:rsidTr="59C52A98">
        <w:tc>
          <w:tcPr>
            <w:cnfStyle w:val="001000000000" w:firstRow="0" w:lastRow="0" w:firstColumn="1" w:lastColumn="0" w:oddVBand="0" w:evenVBand="0" w:oddHBand="0" w:evenHBand="0" w:firstRowFirstColumn="0" w:firstRowLastColumn="0" w:lastRowFirstColumn="0" w:lastRowLastColumn="0"/>
            <w:tcW w:w="1229" w:type="dxa"/>
          </w:tcPr>
          <w:p w14:paraId="58FBEEC1" w14:textId="77777777" w:rsidR="00CA0AF6" w:rsidRPr="009371A1" w:rsidRDefault="00CA0AF6" w:rsidP="00C805A9">
            <w:pPr>
              <w:rPr>
                <w:rFonts w:cstheme="minorHAnsi"/>
                <w:color w:val="000000" w:themeColor="text1"/>
                <w:sz w:val="20"/>
                <w:szCs w:val="20"/>
              </w:rPr>
            </w:pPr>
          </w:p>
        </w:tc>
        <w:tc>
          <w:tcPr>
            <w:tcW w:w="1658" w:type="dxa"/>
          </w:tcPr>
          <w:p w14:paraId="54033A3A" w14:textId="77777777" w:rsidR="00CA0AF6" w:rsidRPr="00371C53" w:rsidRDefault="00CA0AF6" w:rsidP="00C805A9">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highlight w:val="yellow"/>
              </w:rPr>
            </w:pPr>
          </w:p>
        </w:tc>
        <w:tc>
          <w:tcPr>
            <w:tcW w:w="6648" w:type="dxa"/>
          </w:tcPr>
          <w:p w14:paraId="1ADDB44A" w14:textId="77777777" w:rsidR="00CA0AF6" w:rsidRPr="00371C53" w:rsidRDefault="00CA0AF6" w:rsidP="00C805A9">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highlight w:val="yellow"/>
              </w:rPr>
            </w:pPr>
            <w:r w:rsidRPr="00371C53">
              <w:rPr>
                <w:rFonts w:cstheme="minorHAnsi"/>
                <w:color w:val="000000" w:themeColor="text1"/>
                <w:sz w:val="20"/>
                <w:szCs w:val="20"/>
                <w:highlight w:val="yellow"/>
              </w:rPr>
              <w:t xml:space="preserve">Preparation and practicing for the Interview </w:t>
            </w:r>
          </w:p>
        </w:tc>
      </w:tr>
      <w:tr w:rsidR="00CA0AF6" w:rsidRPr="009371A1" w14:paraId="07C0DF86" w14:textId="3846BEC2" w:rsidTr="59C52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9" w:type="dxa"/>
          </w:tcPr>
          <w:p w14:paraId="0F54D2B5" w14:textId="77777777" w:rsidR="00CA0AF6" w:rsidRPr="009371A1" w:rsidRDefault="00CA0AF6" w:rsidP="00C805A9">
            <w:pPr>
              <w:rPr>
                <w:rFonts w:cstheme="minorHAnsi"/>
                <w:color w:val="000000" w:themeColor="text1"/>
                <w:sz w:val="20"/>
                <w:szCs w:val="20"/>
              </w:rPr>
            </w:pPr>
          </w:p>
        </w:tc>
        <w:tc>
          <w:tcPr>
            <w:tcW w:w="1658" w:type="dxa"/>
          </w:tcPr>
          <w:p w14:paraId="4424136A" w14:textId="77777777" w:rsidR="00CA0AF6" w:rsidRPr="00371C53" w:rsidRDefault="00CA0AF6" w:rsidP="00C805A9">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highlight w:val="yellow"/>
              </w:rPr>
            </w:pPr>
          </w:p>
        </w:tc>
        <w:tc>
          <w:tcPr>
            <w:tcW w:w="6648" w:type="dxa"/>
          </w:tcPr>
          <w:p w14:paraId="3709A30C" w14:textId="77777777" w:rsidR="00CA0AF6" w:rsidRPr="00371C53" w:rsidRDefault="00CA0AF6" w:rsidP="00C805A9">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highlight w:val="yellow"/>
              </w:rPr>
            </w:pPr>
            <w:r w:rsidRPr="00371C53">
              <w:rPr>
                <w:rFonts w:cstheme="minorHAnsi"/>
                <w:color w:val="000000" w:themeColor="text1"/>
                <w:sz w:val="20"/>
                <w:szCs w:val="20"/>
                <w:highlight w:val="yellow"/>
              </w:rPr>
              <w:t xml:space="preserve">Post interview communication </w:t>
            </w:r>
          </w:p>
        </w:tc>
      </w:tr>
      <w:tr w:rsidR="00CA0AF6" w:rsidRPr="009371A1" w14:paraId="63227EC6" w14:textId="5AEE2479" w:rsidTr="59C52A98">
        <w:tc>
          <w:tcPr>
            <w:cnfStyle w:val="001000000000" w:firstRow="0" w:lastRow="0" w:firstColumn="1" w:lastColumn="0" w:oddVBand="0" w:evenVBand="0" w:oddHBand="0" w:evenHBand="0" w:firstRowFirstColumn="0" w:firstRowLastColumn="0" w:lastRowFirstColumn="0" w:lastRowLastColumn="0"/>
            <w:tcW w:w="1229" w:type="dxa"/>
          </w:tcPr>
          <w:p w14:paraId="0D4BDB32" w14:textId="77777777" w:rsidR="00CA0AF6" w:rsidRPr="009371A1" w:rsidRDefault="00CA0AF6" w:rsidP="00C805A9">
            <w:pPr>
              <w:rPr>
                <w:rFonts w:cstheme="minorHAnsi"/>
                <w:color w:val="000000" w:themeColor="text1"/>
                <w:sz w:val="20"/>
                <w:szCs w:val="20"/>
              </w:rPr>
            </w:pPr>
          </w:p>
        </w:tc>
        <w:tc>
          <w:tcPr>
            <w:tcW w:w="1658" w:type="dxa"/>
          </w:tcPr>
          <w:p w14:paraId="3224B387" w14:textId="77777777" w:rsidR="00CA0AF6" w:rsidRPr="00371C53" w:rsidRDefault="00CA0AF6" w:rsidP="00C805A9">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highlight w:val="yellow"/>
              </w:rPr>
            </w:pPr>
            <w:r w:rsidRPr="00371C53">
              <w:rPr>
                <w:rFonts w:cstheme="minorHAnsi"/>
                <w:color w:val="000000" w:themeColor="text1"/>
                <w:sz w:val="20"/>
                <w:szCs w:val="20"/>
                <w:highlight w:val="yellow"/>
              </w:rPr>
              <w:t>Contract</w:t>
            </w:r>
          </w:p>
        </w:tc>
        <w:tc>
          <w:tcPr>
            <w:tcW w:w="6648" w:type="dxa"/>
          </w:tcPr>
          <w:p w14:paraId="45081BE2" w14:textId="77777777" w:rsidR="00CA0AF6" w:rsidRPr="00371C53" w:rsidRDefault="00CA0AF6" w:rsidP="00C805A9">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highlight w:val="yellow"/>
              </w:rPr>
            </w:pPr>
            <w:r w:rsidRPr="00371C53">
              <w:rPr>
                <w:rFonts w:cstheme="minorHAnsi"/>
                <w:color w:val="000000" w:themeColor="text1"/>
                <w:sz w:val="20"/>
                <w:szCs w:val="20"/>
                <w:highlight w:val="yellow"/>
              </w:rPr>
              <w:t xml:space="preserve">Understanding components of a physician contract </w:t>
            </w:r>
          </w:p>
        </w:tc>
      </w:tr>
      <w:tr w:rsidR="00CA0AF6" w:rsidRPr="009371A1" w14:paraId="0FF3BD3C" w14:textId="206DB496" w:rsidTr="59C52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9" w:type="dxa"/>
          </w:tcPr>
          <w:p w14:paraId="3D664B52" w14:textId="77777777" w:rsidR="00CA0AF6" w:rsidRPr="009371A1" w:rsidRDefault="00CA0AF6" w:rsidP="00C805A9">
            <w:pPr>
              <w:rPr>
                <w:rFonts w:cstheme="minorHAnsi"/>
                <w:color w:val="000000" w:themeColor="text1"/>
                <w:sz w:val="20"/>
                <w:szCs w:val="20"/>
              </w:rPr>
            </w:pPr>
          </w:p>
        </w:tc>
        <w:tc>
          <w:tcPr>
            <w:tcW w:w="1658" w:type="dxa"/>
          </w:tcPr>
          <w:p w14:paraId="18645704" w14:textId="77777777" w:rsidR="00CA0AF6" w:rsidRPr="009371A1" w:rsidRDefault="00CA0AF6" w:rsidP="00C805A9">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p>
        </w:tc>
        <w:tc>
          <w:tcPr>
            <w:tcW w:w="6648" w:type="dxa"/>
          </w:tcPr>
          <w:p w14:paraId="5C6B0034" w14:textId="77777777" w:rsidR="00CA0AF6" w:rsidRPr="009371A1" w:rsidRDefault="00CA0AF6" w:rsidP="00C805A9">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9371A1">
              <w:rPr>
                <w:rFonts w:cstheme="minorHAnsi"/>
                <w:color w:val="000000" w:themeColor="text1"/>
                <w:sz w:val="20"/>
                <w:szCs w:val="20"/>
              </w:rPr>
              <w:t>Evaluating and negotiating a contract</w:t>
            </w:r>
          </w:p>
        </w:tc>
      </w:tr>
      <w:tr w:rsidR="00CA0AF6" w:rsidRPr="009371A1" w14:paraId="21D82208" w14:textId="709F1DE6" w:rsidTr="59C52A98">
        <w:tc>
          <w:tcPr>
            <w:cnfStyle w:val="001000000000" w:firstRow="0" w:lastRow="0" w:firstColumn="1" w:lastColumn="0" w:oddVBand="0" w:evenVBand="0" w:oddHBand="0" w:evenHBand="0" w:firstRowFirstColumn="0" w:firstRowLastColumn="0" w:lastRowFirstColumn="0" w:lastRowLastColumn="0"/>
            <w:tcW w:w="1229" w:type="dxa"/>
          </w:tcPr>
          <w:p w14:paraId="14AF6152" w14:textId="77777777" w:rsidR="00CA0AF6" w:rsidRPr="009371A1" w:rsidRDefault="00CA0AF6" w:rsidP="00C805A9">
            <w:pPr>
              <w:rPr>
                <w:rFonts w:cstheme="minorHAnsi"/>
                <w:color w:val="000000" w:themeColor="text1"/>
                <w:sz w:val="20"/>
                <w:szCs w:val="20"/>
              </w:rPr>
            </w:pPr>
          </w:p>
        </w:tc>
        <w:tc>
          <w:tcPr>
            <w:tcW w:w="1658" w:type="dxa"/>
          </w:tcPr>
          <w:p w14:paraId="273534F2" w14:textId="77777777" w:rsidR="00CA0AF6" w:rsidRPr="009371A1" w:rsidRDefault="00CA0AF6" w:rsidP="00C805A9">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p>
        </w:tc>
        <w:tc>
          <w:tcPr>
            <w:tcW w:w="6648" w:type="dxa"/>
          </w:tcPr>
          <w:p w14:paraId="3F3CFD8F" w14:textId="1EFB1F67" w:rsidR="00CA0AF6" w:rsidRPr="009371A1" w:rsidRDefault="00CA0AF6" w:rsidP="00C805A9">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9371A1">
              <w:rPr>
                <w:rFonts w:cstheme="minorHAnsi"/>
                <w:color w:val="000000" w:themeColor="text1"/>
                <w:sz w:val="20"/>
                <w:szCs w:val="20"/>
              </w:rPr>
              <w:t>Medical licensing and Credentialing process</w:t>
            </w:r>
          </w:p>
        </w:tc>
      </w:tr>
    </w:tbl>
    <w:p w14:paraId="0EF0C43A" w14:textId="0F0E33C1" w:rsidR="002955CC" w:rsidRDefault="002955CC" w:rsidP="002955CC">
      <w:pPr>
        <w:spacing w:after="0"/>
        <w:rPr>
          <w:rFonts w:ascii="Cambria" w:hAnsi="Cambria"/>
          <w:color w:val="0070C0"/>
          <w:sz w:val="28"/>
          <w:szCs w:val="28"/>
        </w:rPr>
      </w:pPr>
    </w:p>
    <w:p w14:paraId="3FE52A2E" w14:textId="45A4A73B" w:rsidR="002955CC" w:rsidRDefault="002955CC" w:rsidP="002955CC">
      <w:pPr>
        <w:spacing w:after="0"/>
        <w:rPr>
          <w:rFonts w:ascii="Cambria" w:hAnsi="Cambria"/>
          <w:color w:val="0070C0"/>
          <w:sz w:val="28"/>
          <w:szCs w:val="28"/>
        </w:rPr>
      </w:pPr>
      <w:r>
        <w:rPr>
          <w:rFonts w:ascii="Cambria" w:hAnsi="Cambria"/>
          <w:color w:val="0070C0"/>
          <w:sz w:val="28"/>
          <w:szCs w:val="28"/>
        </w:rPr>
        <w:t>Building a Curriculum Vitae (CV) and Cover Letter</w:t>
      </w:r>
    </w:p>
    <w:p w14:paraId="0A502B32" w14:textId="6B566C51" w:rsidR="00C61780" w:rsidRDefault="00641E7C" w:rsidP="00A560D0">
      <w:pPr>
        <w:spacing w:after="0"/>
        <w:rPr>
          <w:rFonts w:cstheme="minorHAnsi"/>
          <w:color w:val="000000" w:themeColor="text1"/>
        </w:rPr>
      </w:pPr>
      <w:r>
        <w:rPr>
          <w:rFonts w:cstheme="minorHAnsi"/>
          <w:color w:val="000000" w:themeColor="text1"/>
        </w:rPr>
        <w:t>Preparing for a job search involves creating important documents such as a CV and cover letter. A well-crafted CV and cover letter can greatly increase the chances of an applicant being contacted for an interview. Residents should receive guidance on how to construct a properly formatted CV that includes key elements and highlights their achievements to potential employers. Similarly, the cover letter should describe the applicant's relevant skills and experience as it pertains to the job they are applying for and should include the position they are applying for, as well as their connection to the area and practice. Table 2 provides information and educational resources related to preparing a cover letter and CV.</w:t>
      </w:r>
    </w:p>
    <w:p w14:paraId="0FE5C3ED" w14:textId="77777777" w:rsidR="002955CC" w:rsidRPr="007514EC" w:rsidRDefault="002955CC" w:rsidP="00EC346F">
      <w:pPr>
        <w:spacing w:after="0"/>
        <w:rPr>
          <w:rFonts w:cstheme="minorHAnsi"/>
          <w:color w:val="000000" w:themeColor="text1"/>
        </w:rPr>
      </w:pPr>
    </w:p>
    <w:p w14:paraId="175D1AFF" w14:textId="2E2DD9BC" w:rsidR="00D73876" w:rsidRDefault="00B37D38" w:rsidP="00A560D0">
      <w:pPr>
        <w:spacing w:after="0"/>
        <w:rPr>
          <w:rFonts w:ascii="Cambria" w:hAnsi="Cambria"/>
          <w:color w:val="0070C0"/>
          <w:sz w:val="28"/>
          <w:szCs w:val="28"/>
        </w:rPr>
      </w:pPr>
      <w:r>
        <w:rPr>
          <w:rFonts w:ascii="Cambria" w:hAnsi="Cambria"/>
          <w:color w:val="0070C0"/>
          <w:sz w:val="28"/>
          <w:szCs w:val="28"/>
        </w:rPr>
        <w:t xml:space="preserve">Soliciting </w:t>
      </w:r>
      <w:r w:rsidR="00C80ADB">
        <w:rPr>
          <w:rFonts w:ascii="Cambria" w:hAnsi="Cambria"/>
          <w:color w:val="0070C0"/>
          <w:sz w:val="28"/>
          <w:szCs w:val="28"/>
        </w:rPr>
        <w:t>Letters of Recommendation and References</w:t>
      </w:r>
    </w:p>
    <w:p w14:paraId="12A0503E" w14:textId="4B918541" w:rsidR="00C80ADB" w:rsidRPr="00C80ADB" w:rsidRDefault="00641E7C" w:rsidP="00A560D0">
      <w:pPr>
        <w:spacing w:after="0"/>
        <w:rPr>
          <w:rFonts w:cstheme="minorHAnsi"/>
          <w:color w:val="000000" w:themeColor="text1"/>
        </w:rPr>
      </w:pPr>
      <w:r>
        <w:rPr>
          <w:rFonts w:cstheme="minorHAnsi"/>
          <w:color w:val="000000" w:themeColor="text1"/>
        </w:rPr>
        <w:t>When searching for a job, it is advisable for residents to start selecting and approaching their references early in the process. It is important to choose someone who knows the resident well and can speak about their character, work ethic, skills, and qualifications.</w:t>
      </w:r>
      <w:r w:rsidR="00D83ABC">
        <w:rPr>
          <w:rFonts w:cstheme="minorHAnsi"/>
          <w:color w:val="000000" w:themeColor="text1"/>
        </w:rPr>
        <w:t xml:space="preserve"> In general, references should include the program director for any recently graduating/graduated resident.</w:t>
      </w:r>
      <w:r>
        <w:rPr>
          <w:rFonts w:cstheme="minorHAnsi"/>
          <w:color w:val="000000" w:themeColor="text1"/>
        </w:rPr>
        <w:t xml:space="preserve"> </w:t>
      </w:r>
      <w:r w:rsidR="00D83ABC">
        <w:rPr>
          <w:rFonts w:cstheme="minorHAnsi"/>
          <w:color w:val="000000" w:themeColor="text1"/>
        </w:rPr>
        <w:t xml:space="preserve">Residents should confirm preferred </w:t>
      </w:r>
      <w:r w:rsidR="00D83ABC">
        <w:rPr>
          <w:rFonts w:cstheme="minorHAnsi"/>
          <w:color w:val="000000" w:themeColor="text1"/>
        </w:rPr>
        <w:lastRenderedPageBreak/>
        <w:t xml:space="preserve">contact information and method for potential reference calls. </w:t>
      </w:r>
      <w:r>
        <w:rPr>
          <w:rFonts w:cstheme="minorHAnsi"/>
          <w:color w:val="000000" w:themeColor="text1"/>
        </w:rPr>
        <w:t>Residents should directly ask each reference and inform them as soon as a letter is required to ensure that they have enough time to write the letter. After receiving confirmation, the resident should send an email request, including an updated CV.</w:t>
      </w:r>
    </w:p>
    <w:p w14:paraId="57473861" w14:textId="77777777" w:rsidR="00C80ADB" w:rsidRDefault="00C80ADB" w:rsidP="00A560D0">
      <w:pPr>
        <w:spacing w:after="0"/>
        <w:rPr>
          <w:rFonts w:ascii="Cambria" w:hAnsi="Cambria"/>
          <w:color w:val="0070C0"/>
          <w:sz w:val="28"/>
          <w:szCs w:val="28"/>
        </w:rPr>
      </w:pPr>
    </w:p>
    <w:p w14:paraId="3DBDA89C" w14:textId="1663DBF3" w:rsidR="002955CC" w:rsidRDefault="00C61780" w:rsidP="00A560D0">
      <w:pPr>
        <w:spacing w:after="0"/>
        <w:rPr>
          <w:rFonts w:ascii="Cambria" w:hAnsi="Cambria"/>
          <w:color w:val="0070C0"/>
          <w:sz w:val="28"/>
          <w:szCs w:val="28"/>
        </w:rPr>
      </w:pPr>
      <w:r>
        <w:rPr>
          <w:rFonts w:ascii="Cambria" w:hAnsi="Cambria"/>
          <w:color w:val="0070C0"/>
          <w:sz w:val="28"/>
          <w:szCs w:val="28"/>
        </w:rPr>
        <w:t xml:space="preserve">Navigating the Interview Process </w:t>
      </w:r>
    </w:p>
    <w:p w14:paraId="2D3577AF" w14:textId="589B7CC9" w:rsidR="00D52B62" w:rsidRPr="00D52B62" w:rsidRDefault="00D52B62" w:rsidP="00A560D0">
      <w:pPr>
        <w:spacing w:after="0"/>
        <w:rPr>
          <w:rFonts w:ascii="Cambria" w:hAnsi="Cambria" w:cstheme="minorHAnsi"/>
          <w:i/>
          <w:iCs/>
          <w:color w:val="2F5496" w:themeColor="accent1" w:themeShade="BF"/>
          <w:sz w:val="24"/>
          <w:szCs w:val="24"/>
        </w:rPr>
      </w:pPr>
      <w:bookmarkStart w:id="0" w:name="_Hlk161414020"/>
      <w:r w:rsidRPr="00D52B62">
        <w:rPr>
          <w:rFonts w:ascii="Cambria" w:hAnsi="Cambria" w:cstheme="minorHAnsi"/>
          <w:i/>
          <w:iCs/>
          <w:color w:val="2F5496" w:themeColor="accent1" w:themeShade="BF"/>
          <w:sz w:val="24"/>
          <w:szCs w:val="24"/>
        </w:rPr>
        <w:t>Scheduling</w:t>
      </w:r>
      <w:bookmarkEnd w:id="0"/>
    </w:p>
    <w:p w14:paraId="7B637FAF" w14:textId="56224A49" w:rsidR="00D52B62" w:rsidRDefault="00641E7C" w:rsidP="00A560D0">
      <w:pPr>
        <w:spacing w:after="0"/>
        <w:rPr>
          <w:rFonts w:cstheme="minorHAnsi"/>
          <w:color w:val="000000" w:themeColor="text1"/>
        </w:rPr>
      </w:pPr>
      <w:r>
        <w:rPr>
          <w:rFonts w:cstheme="minorHAnsi"/>
          <w:color w:val="000000" w:themeColor="text1"/>
        </w:rPr>
        <w:t>Residents often face challenges when trying to navigate interviews during their residency due to scheduling conflicts. To minimize the time away from their residency, it's essential that residents understand the importance of meeting rotation requirements and keep the time spent away from their residency to a minimum. One way to achieve this is to encourage residents to schedule interviews during their electives or vacation time.</w:t>
      </w:r>
    </w:p>
    <w:p w14:paraId="6015C33C" w14:textId="77777777" w:rsidR="00D52B62" w:rsidRDefault="00D52B62" w:rsidP="00A560D0">
      <w:pPr>
        <w:spacing w:after="0"/>
        <w:rPr>
          <w:rFonts w:cstheme="minorHAnsi"/>
          <w:color w:val="000000" w:themeColor="text1"/>
        </w:rPr>
      </w:pPr>
    </w:p>
    <w:p w14:paraId="21D3D573" w14:textId="1DE67A75" w:rsidR="00D52B62" w:rsidRDefault="00D52B62" w:rsidP="00D52B62">
      <w:pPr>
        <w:spacing w:after="0"/>
        <w:rPr>
          <w:rFonts w:ascii="Cambria" w:hAnsi="Cambria" w:cstheme="minorHAnsi"/>
          <w:i/>
          <w:iCs/>
          <w:color w:val="2F5496" w:themeColor="accent1" w:themeShade="BF"/>
          <w:sz w:val="24"/>
          <w:szCs w:val="24"/>
        </w:rPr>
      </w:pPr>
      <w:r>
        <w:rPr>
          <w:rFonts w:ascii="Cambria" w:hAnsi="Cambria" w:cstheme="minorHAnsi"/>
          <w:i/>
          <w:iCs/>
          <w:color w:val="2F5496" w:themeColor="accent1" w:themeShade="BF"/>
          <w:sz w:val="24"/>
          <w:szCs w:val="24"/>
        </w:rPr>
        <w:t>Interview Preparation</w:t>
      </w:r>
      <w:r w:rsidR="00DF6D3E">
        <w:rPr>
          <w:rFonts w:ascii="Cambria" w:hAnsi="Cambria" w:cstheme="minorHAnsi"/>
          <w:i/>
          <w:iCs/>
          <w:color w:val="2F5496" w:themeColor="accent1" w:themeShade="BF"/>
          <w:sz w:val="24"/>
          <w:szCs w:val="24"/>
        </w:rPr>
        <w:t xml:space="preserve"> and Follow-Up </w:t>
      </w:r>
    </w:p>
    <w:p w14:paraId="623DACAD" w14:textId="3ACF2BAB" w:rsidR="0045010D" w:rsidRDefault="0045010D" w:rsidP="0045010D">
      <w:pPr>
        <w:spacing w:after="0"/>
        <w:rPr>
          <w:rFonts w:cstheme="minorHAnsi"/>
          <w:color w:val="000000" w:themeColor="text1"/>
        </w:rPr>
      </w:pPr>
      <w:r>
        <w:rPr>
          <w:rFonts w:cstheme="minorHAnsi"/>
          <w:color w:val="000000" w:themeColor="text1"/>
        </w:rPr>
        <w:t>Preparing for interviews is crucial for residents and can be done by practicing with colleagues or mentors through mock interviews. It is important to note that interview formats can vary, and residents should be prepared for behavioral and situational questions in addition to traditional formats. They should also create a comprehensive list of questions to ask during the interview and be ready to discuss their professional goals, strengths, and expertise. Finally, it's important to identify the next steps and follow up accordingly.</w:t>
      </w:r>
      <w:r w:rsidRPr="0045010D">
        <w:rPr>
          <w:rFonts w:cstheme="minorHAnsi"/>
          <w:color w:val="000000" w:themeColor="text1"/>
        </w:rPr>
        <w:t xml:space="preserve"> </w:t>
      </w:r>
      <w:r w:rsidRPr="00C61780">
        <w:rPr>
          <w:rFonts w:cstheme="minorHAnsi"/>
          <w:color w:val="000000" w:themeColor="text1"/>
        </w:rPr>
        <w:t>T</w:t>
      </w:r>
      <w:r>
        <w:rPr>
          <w:rFonts w:cstheme="minorHAnsi"/>
          <w:color w:val="000000" w:themeColor="text1"/>
        </w:rPr>
        <w:t xml:space="preserve">able 2 includes information and tools on interviewing skills and sample questions to help residents prepare for a job interview. </w:t>
      </w:r>
    </w:p>
    <w:p w14:paraId="7D73B04B" w14:textId="77777777" w:rsidR="00EC346F" w:rsidRDefault="00EC346F" w:rsidP="002518B7">
      <w:pPr>
        <w:spacing w:after="0"/>
        <w:contextualSpacing/>
        <w:rPr>
          <w:rFonts w:ascii="Cambria" w:hAnsi="Cambria"/>
          <w:color w:val="0070C0"/>
          <w:sz w:val="28"/>
          <w:szCs w:val="28"/>
        </w:rPr>
      </w:pPr>
    </w:p>
    <w:p w14:paraId="1B4518DB" w14:textId="3F9A9022" w:rsidR="00DF6D3E" w:rsidRDefault="002B2B86" w:rsidP="002518B7">
      <w:pPr>
        <w:spacing w:after="0"/>
        <w:contextualSpacing/>
        <w:rPr>
          <w:rFonts w:ascii="Cambria" w:hAnsi="Cambria"/>
          <w:color w:val="0070C0"/>
          <w:sz w:val="28"/>
          <w:szCs w:val="28"/>
        </w:rPr>
      </w:pPr>
      <w:r>
        <w:rPr>
          <w:rFonts w:ascii="Cambria" w:hAnsi="Cambria"/>
          <w:color w:val="0070C0"/>
          <w:sz w:val="28"/>
          <w:szCs w:val="28"/>
        </w:rPr>
        <w:t xml:space="preserve">Understanding </w:t>
      </w:r>
      <w:r w:rsidR="00302483">
        <w:rPr>
          <w:rFonts w:ascii="Cambria" w:hAnsi="Cambria"/>
          <w:color w:val="0070C0"/>
          <w:sz w:val="28"/>
          <w:szCs w:val="28"/>
        </w:rPr>
        <w:t>t</w:t>
      </w:r>
      <w:r>
        <w:rPr>
          <w:rFonts w:ascii="Cambria" w:hAnsi="Cambria"/>
          <w:color w:val="0070C0"/>
          <w:sz w:val="28"/>
          <w:szCs w:val="28"/>
        </w:rPr>
        <w:t>he Contract</w:t>
      </w:r>
      <w:r w:rsidR="00DF6D3E">
        <w:rPr>
          <w:rFonts w:ascii="Cambria" w:hAnsi="Cambria"/>
          <w:color w:val="0070C0"/>
          <w:sz w:val="28"/>
          <w:szCs w:val="28"/>
        </w:rPr>
        <w:t xml:space="preserve"> </w:t>
      </w:r>
    </w:p>
    <w:p w14:paraId="4E25C240" w14:textId="203DCDA7" w:rsidR="0075779B" w:rsidRDefault="59C52A98" w:rsidP="4B4815A3">
      <w:pPr>
        <w:spacing w:after="0"/>
        <w:contextualSpacing/>
        <w:rPr>
          <w:color w:val="000000" w:themeColor="text1"/>
        </w:rPr>
      </w:pPr>
      <w:r w:rsidRPr="59C52A98">
        <w:rPr>
          <w:color w:val="000000" w:themeColor="text1"/>
        </w:rPr>
        <w:t xml:space="preserve">Physician employment contracts can often be complex and difficult for residents to comprehend. However, it is crucial for residents to have a clear understanding of the key components of their contracts, including their obligations, in order to establish a successful relationship with their employer. It is highly recommended that residency programs provide formal education to familiarize residents with contract terms and compensation models. Residents should be given an overview of benchmark data, billing processes, and how to identify fair benefits and compensation packages. Educational sessions should include information on terms such as productivity, restrictive covenants, liability insurance, and termination clauses. This will enable residents to identify any potential red flags in their employment contracts and avoid any negative impacts on their personal and professional lives. </w:t>
      </w:r>
      <w:r w:rsidR="00916EAF">
        <w:rPr>
          <w:color w:val="000000" w:themeColor="text1"/>
        </w:rPr>
        <w:t>Resources for residents and program leaders can be found in Table 2.</w:t>
      </w:r>
    </w:p>
    <w:p w14:paraId="29A85D49" w14:textId="77777777" w:rsidR="0045010D" w:rsidRPr="00371C53" w:rsidRDefault="0045010D" w:rsidP="59C52A98">
      <w:pPr>
        <w:spacing w:after="0"/>
        <w:rPr>
          <w:rFonts w:ascii="Cambria" w:eastAsia="Cambria" w:hAnsi="Cambria" w:cs="Cambria"/>
          <w:color w:val="000000" w:themeColor="text1"/>
          <w:sz w:val="28"/>
          <w:szCs w:val="28"/>
        </w:rPr>
      </w:pPr>
    </w:p>
    <w:p w14:paraId="02D94AB7" w14:textId="4E0CE130" w:rsidR="59C52A98" w:rsidRPr="00371C53" w:rsidRDefault="59C52A98" w:rsidP="59C52A98">
      <w:pPr>
        <w:spacing w:after="0"/>
        <w:contextualSpacing/>
        <w:rPr>
          <w:rFonts w:ascii="Cambria" w:hAnsi="Cambria"/>
          <w:color w:val="0070C0"/>
          <w:sz w:val="28"/>
          <w:szCs w:val="28"/>
        </w:rPr>
      </w:pPr>
      <w:r w:rsidRPr="00371C53">
        <w:rPr>
          <w:rFonts w:ascii="Cambria" w:hAnsi="Cambria"/>
          <w:color w:val="0070C0"/>
          <w:sz w:val="28"/>
          <w:szCs w:val="28"/>
        </w:rPr>
        <w:t>Other Considerations</w:t>
      </w:r>
    </w:p>
    <w:p w14:paraId="64873449" w14:textId="3291E673" w:rsidR="59C52A98" w:rsidRDefault="59C52A98" w:rsidP="59C52A98">
      <w:pPr>
        <w:spacing w:after="0"/>
        <w:rPr>
          <w:color w:val="000000" w:themeColor="text1"/>
        </w:rPr>
      </w:pPr>
      <w:r w:rsidRPr="59C52A98">
        <w:rPr>
          <w:color w:val="000000" w:themeColor="text1"/>
        </w:rPr>
        <w:t xml:space="preserve">Residents should anticipate applying for a full medical license in the state of practice (for fellowship or any other employment) by six months in advance to assure they can assume clinical duties on time. Residents should be prepared for the credentialing process after signing the contract. This can also be quite onerous for busy residents but should be completed in a timely manner to avoid delays in starting post-residency employment. They should also be sure that their procedure logs are up to date in order to facilitate the credentialing process, especially if moving to a new institution. </w:t>
      </w:r>
    </w:p>
    <w:p w14:paraId="15C747A5" w14:textId="77777777" w:rsidR="00916EAF" w:rsidRDefault="00916EAF" w:rsidP="59C52A98">
      <w:pPr>
        <w:spacing w:after="0"/>
        <w:rPr>
          <w:color w:val="000000" w:themeColor="text1"/>
        </w:rPr>
      </w:pPr>
    </w:p>
    <w:p w14:paraId="7D778E2A" w14:textId="57A8584E" w:rsidR="0045010D" w:rsidRDefault="0045010D" w:rsidP="0045010D">
      <w:pPr>
        <w:spacing w:after="0"/>
        <w:rPr>
          <w:rFonts w:ascii="Cambria" w:hAnsi="Cambria"/>
          <w:color w:val="0070C0"/>
          <w:sz w:val="28"/>
          <w:szCs w:val="28"/>
        </w:rPr>
      </w:pPr>
      <w:r>
        <w:rPr>
          <w:rFonts w:ascii="Cambria" w:hAnsi="Cambria"/>
          <w:color w:val="0070C0"/>
          <w:sz w:val="28"/>
          <w:szCs w:val="28"/>
        </w:rPr>
        <w:t>Resources</w:t>
      </w:r>
    </w:p>
    <w:tbl>
      <w:tblPr>
        <w:tblStyle w:val="GridTable4-Accent1"/>
        <w:tblpPr w:leftFromText="180" w:rightFromText="180" w:vertAnchor="text" w:horzAnchor="margin" w:tblpY="88"/>
        <w:tblW w:w="9535" w:type="dxa"/>
        <w:tblLook w:val="04A0" w:firstRow="1" w:lastRow="0" w:firstColumn="1" w:lastColumn="0" w:noHBand="0" w:noVBand="1"/>
      </w:tblPr>
      <w:tblGrid>
        <w:gridCol w:w="3956"/>
        <w:gridCol w:w="5579"/>
      </w:tblGrid>
      <w:tr w:rsidR="0045010D" w:rsidRPr="00AD6D1D" w14:paraId="2804CC20" w14:textId="77777777" w:rsidTr="004501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35" w:type="dxa"/>
            <w:gridSpan w:val="2"/>
            <w:shd w:val="clear" w:color="auto" w:fill="FFFFFF" w:themeFill="background1"/>
          </w:tcPr>
          <w:p w14:paraId="6CA599A9" w14:textId="724D95DE" w:rsidR="0045010D" w:rsidRPr="00AD6D1D" w:rsidRDefault="0045010D" w:rsidP="0045010D">
            <w:pPr>
              <w:jc w:val="center"/>
              <w:rPr>
                <w:rFonts w:cstheme="minorHAnsi"/>
                <w:b w:val="0"/>
                <w:bCs w:val="0"/>
                <w:color w:val="000000" w:themeColor="text1"/>
                <w:sz w:val="20"/>
                <w:szCs w:val="20"/>
              </w:rPr>
            </w:pPr>
            <w:r w:rsidRPr="00AD6D1D">
              <w:rPr>
                <w:rFonts w:cstheme="minorHAnsi"/>
                <w:b w:val="0"/>
                <w:bCs w:val="0"/>
                <w:color w:val="000000" w:themeColor="text1"/>
                <w:sz w:val="20"/>
                <w:szCs w:val="20"/>
              </w:rPr>
              <w:lastRenderedPageBreak/>
              <w:t>SELECTED RESOURCES FOR RESIDENT</w:t>
            </w:r>
            <w:r w:rsidR="00AD6D1D">
              <w:rPr>
                <w:rFonts w:cstheme="minorHAnsi"/>
                <w:b w:val="0"/>
                <w:bCs w:val="0"/>
                <w:color w:val="000000" w:themeColor="text1"/>
                <w:sz w:val="20"/>
                <w:szCs w:val="20"/>
              </w:rPr>
              <w:t xml:space="preserve"> MENTORS AND ADVISORS</w:t>
            </w:r>
            <w:r w:rsidR="00D83ABC">
              <w:rPr>
                <w:rFonts w:cstheme="minorHAnsi"/>
                <w:b w:val="0"/>
                <w:bCs w:val="0"/>
                <w:color w:val="000000" w:themeColor="text1"/>
                <w:sz w:val="20"/>
                <w:szCs w:val="20"/>
              </w:rPr>
              <w:t xml:space="preserve"> (Table 2)</w:t>
            </w:r>
          </w:p>
        </w:tc>
      </w:tr>
      <w:tr w:rsidR="00EC346F" w:rsidRPr="00AD6D1D" w14:paraId="2A186298" w14:textId="77777777" w:rsidTr="00EC34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6" w:type="dxa"/>
          </w:tcPr>
          <w:p w14:paraId="380CD36C" w14:textId="32C5AB69" w:rsidR="00EC346F" w:rsidRPr="00AD6D1D" w:rsidRDefault="00EC346F" w:rsidP="0045010D">
            <w:pPr>
              <w:rPr>
                <w:rFonts w:cstheme="minorHAnsi"/>
                <w:b w:val="0"/>
                <w:bCs w:val="0"/>
                <w:color w:val="000000" w:themeColor="text1"/>
                <w:sz w:val="20"/>
                <w:szCs w:val="20"/>
              </w:rPr>
            </w:pPr>
            <w:r w:rsidRPr="00AD6D1D">
              <w:rPr>
                <w:rFonts w:cstheme="minorHAnsi"/>
                <w:b w:val="0"/>
                <w:bCs w:val="0"/>
                <w:color w:val="000000" w:themeColor="text1"/>
                <w:sz w:val="20"/>
                <w:szCs w:val="20"/>
              </w:rPr>
              <w:t>Description</w:t>
            </w:r>
          </w:p>
        </w:tc>
        <w:tc>
          <w:tcPr>
            <w:tcW w:w="5579" w:type="dxa"/>
          </w:tcPr>
          <w:p w14:paraId="5F17AB6D" w14:textId="45B47677" w:rsidR="00EC346F" w:rsidRPr="00AD6D1D" w:rsidRDefault="00EC346F" w:rsidP="0045010D">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AD6D1D">
              <w:rPr>
                <w:rFonts w:cstheme="minorHAnsi"/>
                <w:color w:val="000000" w:themeColor="text1"/>
                <w:sz w:val="20"/>
                <w:szCs w:val="20"/>
              </w:rPr>
              <w:t>URL</w:t>
            </w:r>
          </w:p>
        </w:tc>
      </w:tr>
      <w:tr w:rsidR="00EC346F" w:rsidRPr="00AD6D1D" w14:paraId="42BDB665" w14:textId="77777777" w:rsidTr="008770D8">
        <w:tc>
          <w:tcPr>
            <w:cnfStyle w:val="001000000000" w:firstRow="0" w:lastRow="0" w:firstColumn="1" w:lastColumn="0" w:oddVBand="0" w:evenVBand="0" w:oddHBand="0" w:evenHBand="0" w:firstRowFirstColumn="0" w:firstRowLastColumn="0" w:lastRowFirstColumn="0" w:lastRowLastColumn="0"/>
            <w:tcW w:w="3956" w:type="dxa"/>
          </w:tcPr>
          <w:p w14:paraId="6A601766" w14:textId="4CAC0BF4" w:rsidR="00EC346F" w:rsidRPr="00AD6D1D" w:rsidRDefault="00EC346F" w:rsidP="0045010D">
            <w:pPr>
              <w:rPr>
                <w:rFonts w:cstheme="minorHAnsi"/>
                <w:b w:val="0"/>
                <w:bCs w:val="0"/>
                <w:color w:val="000000" w:themeColor="text1"/>
                <w:sz w:val="20"/>
                <w:szCs w:val="20"/>
              </w:rPr>
            </w:pPr>
            <w:r w:rsidRPr="00AD6D1D">
              <w:rPr>
                <w:rFonts w:cstheme="minorHAnsi"/>
                <w:b w:val="0"/>
                <w:bCs w:val="0"/>
                <w:color w:val="000000" w:themeColor="text1"/>
                <w:sz w:val="20"/>
                <w:szCs w:val="20"/>
              </w:rPr>
              <w:t xml:space="preserve">AAP resource that includes questions to consider when looking for a job. </w:t>
            </w:r>
          </w:p>
        </w:tc>
        <w:tc>
          <w:tcPr>
            <w:tcW w:w="5579" w:type="dxa"/>
          </w:tcPr>
          <w:p w14:paraId="036E8A56" w14:textId="6AC980EC" w:rsidR="00EC346F" w:rsidRPr="00AD6D1D" w:rsidRDefault="00000000" w:rsidP="00AD6D1D">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hyperlink r:id="rId5" w:history="1">
              <w:r w:rsidR="00EC346F" w:rsidRPr="00AD6D1D">
                <w:rPr>
                  <w:rStyle w:val="Hyperlink"/>
                  <w:rFonts w:cstheme="minorHAnsi"/>
                  <w:sz w:val="20"/>
                  <w:szCs w:val="20"/>
                </w:rPr>
                <w:t>https://www.aap.org/en/career-resources/planning-your-career/</w:t>
              </w:r>
            </w:hyperlink>
          </w:p>
        </w:tc>
      </w:tr>
      <w:tr w:rsidR="00AD6D1D" w:rsidRPr="00AD6D1D" w14:paraId="034A35BF" w14:textId="77777777" w:rsidTr="00BC72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6" w:type="dxa"/>
          </w:tcPr>
          <w:p w14:paraId="59E2CCF3" w14:textId="3489952A" w:rsidR="00AD6D1D" w:rsidRPr="00AD6D1D" w:rsidRDefault="00AD6D1D" w:rsidP="0045010D">
            <w:pPr>
              <w:rPr>
                <w:rFonts w:cstheme="minorHAnsi"/>
                <w:b w:val="0"/>
                <w:bCs w:val="0"/>
                <w:color w:val="000000" w:themeColor="text1"/>
                <w:sz w:val="20"/>
                <w:szCs w:val="20"/>
              </w:rPr>
            </w:pPr>
            <w:r w:rsidRPr="00AD6D1D">
              <w:rPr>
                <w:rFonts w:cstheme="minorHAnsi"/>
                <w:b w:val="0"/>
                <w:bCs w:val="0"/>
                <w:color w:val="000000" w:themeColor="text1"/>
                <w:sz w:val="20"/>
                <w:szCs w:val="20"/>
              </w:rPr>
              <w:t>PedJobs allows residents to browse through opening available nationwide</w:t>
            </w:r>
          </w:p>
        </w:tc>
        <w:tc>
          <w:tcPr>
            <w:tcW w:w="5579" w:type="dxa"/>
          </w:tcPr>
          <w:p w14:paraId="6CDD5D1E" w14:textId="35223D4B" w:rsidR="00AD6D1D" w:rsidRPr="00AD6D1D" w:rsidRDefault="00000000" w:rsidP="0035121F">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hyperlink r:id="rId6" w:history="1">
              <w:r w:rsidR="00AD6D1D" w:rsidRPr="00AD6D1D">
                <w:rPr>
                  <w:rStyle w:val="Hyperlink"/>
                  <w:rFonts w:cstheme="minorHAnsi"/>
                  <w:sz w:val="20"/>
                  <w:szCs w:val="20"/>
                </w:rPr>
                <w:t>https://jobs.pedjobs.org/jobseekers/</w:t>
              </w:r>
            </w:hyperlink>
          </w:p>
        </w:tc>
      </w:tr>
      <w:tr w:rsidR="00AD6D1D" w:rsidRPr="00AD6D1D" w14:paraId="4D704F8D" w14:textId="77777777" w:rsidTr="00CB1E54">
        <w:tc>
          <w:tcPr>
            <w:cnfStyle w:val="001000000000" w:firstRow="0" w:lastRow="0" w:firstColumn="1" w:lastColumn="0" w:oddVBand="0" w:evenVBand="0" w:oddHBand="0" w:evenHBand="0" w:firstRowFirstColumn="0" w:firstRowLastColumn="0" w:lastRowFirstColumn="0" w:lastRowLastColumn="0"/>
            <w:tcW w:w="3956" w:type="dxa"/>
          </w:tcPr>
          <w:p w14:paraId="0652C182" w14:textId="20603160" w:rsidR="00AD6D1D" w:rsidRPr="00AD6D1D" w:rsidRDefault="00AD6D1D" w:rsidP="0045010D">
            <w:pPr>
              <w:rPr>
                <w:rFonts w:cstheme="minorHAnsi"/>
                <w:b w:val="0"/>
                <w:bCs w:val="0"/>
                <w:color w:val="000000" w:themeColor="text1"/>
                <w:sz w:val="20"/>
                <w:szCs w:val="20"/>
              </w:rPr>
            </w:pPr>
            <w:r w:rsidRPr="00AD6D1D">
              <w:rPr>
                <w:rFonts w:cstheme="minorHAnsi"/>
                <w:b w:val="0"/>
                <w:bCs w:val="0"/>
                <w:color w:val="000000" w:themeColor="text1"/>
                <w:sz w:val="20"/>
                <w:szCs w:val="20"/>
              </w:rPr>
              <w:t>This tool includes information on building your CV and cover letter</w:t>
            </w:r>
          </w:p>
        </w:tc>
        <w:tc>
          <w:tcPr>
            <w:tcW w:w="5579" w:type="dxa"/>
          </w:tcPr>
          <w:p w14:paraId="2FD65B10" w14:textId="5E9ACADD" w:rsidR="00AD6D1D" w:rsidRPr="00AD6D1D" w:rsidRDefault="00000000" w:rsidP="0035121F">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hyperlink r:id="rId7" w:history="1">
              <w:r w:rsidR="00AD6D1D" w:rsidRPr="00AD6D1D">
                <w:rPr>
                  <w:rStyle w:val="Hyperlink"/>
                  <w:rFonts w:cstheme="minorHAnsi"/>
                  <w:sz w:val="20"/>
                  <w:szCs w:val="20"/>
                </w:rPr>
                <w:t>https://www.aap.org/en/career-resources/conducting-your-job-search/prepare-a-curriculum-vitae-and-cover-letter/</w:t>
              </w:r>
            </w:hyperlink>
          </w:p>
        </w:tc>
      </w:tr>
      <w:tr w:rsidR="00AD6D1D" w:rsidRPr="00AD6D1D" w14:paraId="2893CE78" w14:textId="77777777" w:rsidTr="00BE52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6" w:type="dxa"/>
          </w:tcPr>
          <w:p w14:paraId="29F98FAF" w14:textId="77777777" w:rsidR="00AD6D1D" w:rsidRPr="00AD6D1D" w:rsidRDefault="00AD6D1D" w:rsidP="0045010D">
            <w:pPr>
              <w:rPr>
                <w:rFonts w:cstheme="minorHAnsi"/>
                <w:b w:val="0"/>
                <w:bCs w:val="0"/>
                <w:color w:val="000000" w:themeColor="text1"/>
                <w:sz w:val="20"/>
                <w:szCs w:val="20"/>
              </w:rPr>
            </w:pPr>
          </w:p>
        </w:tc>
        <w:tc>
          <w:tcPr>
            <w:tcW w:w="5579" w:type="dxa"/>
          </w:tcPr>
          <w:p w14:paraId="6609FF4B" w14:textId="32D2B64D" w:rsidR="00AD6D1D" w:rsidRPr="00AD6D1D" w:rsidRDefault="00000000" w:rsidP="0035121F">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hyperlink r:id="rId8" w:history="1">
              <w:r w:rsidR="00AD6D1D" w:rsidRPr="00AD6D1D">
                <w:rPr>
                  <w:rStyle w:val="Hyperlink"/>
                  <w:rFonts w:cstheme="minorHAnsi"/>
                  <w:sz w:val="20"/>
                  <w:szCs w:val="20"/>
                </w:rPr>
                <w:t>https://www.ama-assn.org/medical-residents/transition-resident-attending/creating-standout-medical-cv</w:t>
              </w:r>
            </w:hyperlink>
          </w:p>
        </w:tc>
      </w:tr>
      <w:tr w:rsidR="00AD6D1D" w:rsidRPr="00AD6D1D" w14:paraId="68B8DBFA" w14:textId="77777777" w:rsidTr="00094B97">
        <w:tc>
          <w:tcPr>
            <w:cnfStyle w:val="001000000000" w:firstRow="0" w:lastRow="0" w:firstColumn="1" w:lastColumn="0" w:oddVBand="0" w:evenVBand="0" w:oddHBand="0" w:evenHBand="0" w:firstRowFirstColumn="0" w:firstRowLastColumn="0" w:lastRowFirstColumn="0" w:lastRowLastColumn="0"/>
            <w:tcW w:w="3956" w:type="dxa"/>
          </w:tcPr>
          <w:p w14:paraId="415F732A" w14:textId="33CD8DD1" w:rsidR="00AD6D1D" w:rsidRPr="00AD6D1D" w:rsidRDefault="00AD6D1D" w:rsidP="0045010D">
            <w:pPr>
              <w:rPr>
                <w:rFonts w:cstheme="minorHAnsi"/>
                <w:b w:val="0"/>
                <w:bCs w:val="0"/>
                <w:color w:val="000000" w:themeColor="text1"/>
                <w:sz w:val="20"/>
                <w:szCs w:val="20"/>
              </w:rPr>
            </w:pPr>
            <w:r w:rsidRPr="00AD6D1D">
              <w:rPr>
                <w:rFonts w:cstheme="minorHAnsi"/>
                <w:b w:val="0"/>
                <w:bCs w:val="0"/>
                <w:color w:val="000000" w:themeColor="text1"/>
                <w:sz w:val="20"/>
                <w:szCs w:val="20"/>
              </w:rPr>
              <w:t xml:space="preserve">Understanding your Contract </w:t>
            </w:r>
          </w:p>
        </w:tc>
        <w:tc>
          <w:tcPr>
            <w:tcW w:w="5579" w:type="dxa"/>
          </w:tcPr>
          <w:p w14:paraId="51EC139A" w14:textId="01BC7532" w:rsidR="00AD6D1D" w:rsidRPr="00AD6D1D" w:rsidRDefault="00000000" w:rsidP="002F46BF">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hyperlink r:id="rId9" w:history="1">
              <w:r w:rsidR="00AD6D1D" w:rsidRPr="00AD6D1D">
                <w:rPr>
                  <w:rStyle w:val="Hyperlink"/>
                  <w:rFonts w:cstheme="minorHAnsi"/>
                  <w:sz w:val="20"/>
                  <w:szCs w:val="20"/>
                </w:rPr>
                <w:t>https://www.ama-assn.org/medical-residents/transition-resident-attending/understanding-physician-employment-contracts</w:t>
              </w:r>
            </w:hyperlink>
          </w:p>
        </w:tc>
      </w:tr>
      <w:tr w:rsidR="00AD6D1D" w:rsidRPr="00AD6D1D" w14:paraId="4EC7A938" w14:textId="77777777" w:rsidTr="000468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6" w:type="dxa"/>
          </w:tcPr>
          <w:p w14:paraId="0D6AB933" w14:textId="77777777" w:rsidR="00AD6D1D" w:rsidRPr="00AD6D1D" w:rsidRDefault="00AD6D1D" w:rsidP="0045010D">
            <w:pPr>
              <w:rPr>
                <w:rFonts w:cstheme="minorHAnsi"/>
                <w:b w:val="0"/>
                <w:bCs w:val="0"/>
                <w:color w:val="000000" w:themeColor="text1"/>
                <w:sz w:val="20"/>
                <w:szCs w:val="20"/>
              </w:rPr>
            </w:pPr>
          </w:p>
        </w:tc>
        <w:tc>
          <w:tcPr>
            <w:tcW w:w="5579" w:type="dxa"/>
          </w:tcPr>
          <w:p w14:paraId="524F7EFE" w14:textId="65AE1569" w:rsidR="00AD6D1D" w:rsidRPr="00AD6D1D" w:rsidRDefault="00000000" w:rsidP="002F46BF">
            <w:pPr>
              <w:pStyle w:val="ListParagraph"/>
              <w:numPr>
                <w:ilvl w:val="0"/>
                <w:numId w:val="15"/>
              </w:num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hyperlink r:id="rId10" w:history="1">
              <w:r w:rsidR="00AD6D1D" w:rsidRPr="00AD6D1D">
                <w:rPr>
                  <w:rStyle w:val="Hyperlink"/>
                  <w:rFonts w:cstheme="minorHAnsi"/>
                  <w:sz w:val="20"/>
                  <w:szCs w:val="20"/>
                </w:rPr>
                <w:t>https://resources.nejmcareercenter.org/article/physician-employment-contracts-strategies-for-avoiding-pitfalls/</w:t>
              </w:r>
            </w:hyperlink>
          </w:p>
        </w:tc>
      </w:tr>
      <w:tr w:rsidR="00AD6D1D" w:rsidRPr="00AD6D1D" w14:paraId="71339CEF" w14:textId="77777777" w:rsidTr="00BC6184">
        <w:tc>
          <w:tcPr>
            <w:cnfStyle w:val="001000000000" w:firstRow="0" w:lastRow="0" w:firstColumn="1" w:lastColumn="0" w:oddVBand="0" w:evenVBand="0" w:oddHBand="0" w:evenHBand="0" w:firstRowFirstColumn="0" w:firstRowLastColumn="0" w:lastRowFirstColumn="0" w:lastRowLastColumn="0"/>
            <w:tcW w:w="3956" w:type="dxa"/>
          </w:tcPr>
          <w:p w14:paraId="7495DCD4" w14:textId="4A882DB4" w:rsidR="00AD6D1D" w:rsidRPr="00AD6D1D" w:rsidRDefault="00AD6D1D" w:rsidP="0045010D">
            <w:pPr>
              <w:rPr>
                <w:rFonts w:cstheme="minorHAnsi"/>
                <w:b w:val="0"/>
                <w:bCs w:val="0"/>
                <w:color w:val="000000" w:themeColor="text1"/>
                <w:sz w:val="20"/>
                <w:szCs w:val="20"/>
              </w:rPr>
            </w:pPr>
            <w:r w:rsidRPr="00AD6D1D">
              <w:rPr>
                <w:rFonts w:cstheme="minorHAnsi"/>
                <w:b w:val="0"/>
                <w:bCs w:val="0"/>
                <w:color w:val="000000" w:themeColor="text1"/>
                <w:sz w:val="20"/>
                <w:szCs w:val="20"/>
              </w:rPr>
              <w:t>Credentialling Process</w:t>
            </w:r>
          </w:p>
        </w:tc>
        <w:tc>
          <w:tcPr>
            <w:tcW w:w="5579" w:type="dxa"/>
          </w:tcPr>
          <w:p w14:paraId="3445B4BE" w14:textId="67DE57F1" w:rsidR="00916EAF" w:rsidRPr="00371C53" w:rsidRDefault="00916EAF" w:rsidP="00916EAF">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hyperlink r:id="rId11" w:history="1">
              <w:r w:rsidRPr="00E23AE6">
                <w:rPr>
                  <w:rStyle w:val="Hyperlink"/>
                  <w:rFonts w:cstheme="minorHAnsi"/>
                  <w:sz w:val="20"/>
                  <w:szCs w:val="20"/>
                </w:rPr>
                <w:t>https://www.aap.org/en/career-resources/planning-your-career/credentialing/</w:t>
              </w:r>
            </w:hyperlink>
          </w:p>
        </w:tc>
      </w:tr>
      <w:tr w:rsidR="00AD6D1D" w:rsidRPr="00AD6D1D" w14:paraId="4ADB5674" w14:textId="77777777" w:rsidTr="00B973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6" w:type="dxa"/>
          </w:tcPr>
          <w:p w14:paraId="505DEAAF" w14:textId="6F9327BD" w:rsidR="00AD6D1D" w:rsidRPr="00AD6D1D" w:rsidRDefault="00AD6D1D" w:rsidP="0045010D">
            <w:pPr>
              <w:rPr>
                <w:rFonts w:cstheme="minorHAnsi"/>
                <w:b w:val="0"/>
                <w:bCs w:val="0"/>
                <w:color w:val="000000" w:themeColor="text1"/>
                <w:sz w:val="20"/>
                <w:szCs w:val="20"/>
              </w:rPr>
            </w:pPr>
            <w:r w:rsidRPr="00AD6D1D">
              <w:rPr>
                <w:rFonts w:cstheme="minorHAnsi"/>
                <w:b w:val="0"/>
                <w:bCs w:val="0"/>
                <w:color w:val="000000" w:themeColor="text1"/>
                <w:sz w:val="20"/>
                <w:szCs w:val="20"/>
              </w:rPr>
              <w:t>Salary expectations</w:t>
            </w:r>
          </w:p>
        </w:tc>
        <w:tc>
          <w:tcPr>
            <w:tcW w:w="5579" w:type="dxa"/>
          </w:tcPr>
          <w:p w14:paraId="3E0116FA" w14:textId="5B3EF94E" w:rsidR="00916EAF" w:rsidRPr="00371C53" w:rsidRDefault="00916EAF" w:rsidP="00916EAF">
            <w:pPr>
              <w:pStyle w:val="ListParagraph"/>
              <w:numPr>
                <w:ilvl w:val="0"/>
                <w:numId w:val="15"/>
              </w:num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hyperlink r:id="rId12" w:history="1">
              <w:r w:rsidRPr="00E23AE6">
                <w:rPr>
                  <w:rStyle w:val="Hyperlink"/>
                  <w:rFonts w:cstheme="minorHAnsi"/>
                  <w:sz w:val="20"/>
                  <w:szCs w:val="20"/>
                </w:rPr>
                <w:t>https://www.aap.org/en/career-resources/planning-your-career/salary/</w:t>
              </w:r>
            </w:hyperlink>
          </w:p>
        </w:tc>
      </w:tr>
      <w:tr w:rsidR="00AD6D1D" w:rsidRPr="00AD6D1D" w14:paraId="71EE4935" w14:textId="77777777" w:rsidTr="00261F76">
        <w:tc>
          <w:tcPr>
            <w:cnfStyle w:val="001000000000" w:firstRow="0" w:lastRow="0" w:firstColumn="1" w:lastColumn="0" w:oddVBand="0" w:evenVBand="0" w:oddHBand="0" w:evenHBand="0" w:firstRowFirstColumn="0" w:firstRowLastColumn="0" w:lastRowFirstColumn="0" w:lastRowLastColumn="0"/>
            <w:tcW w:w="3956" w:type="dxa"/>
          </w:tcPr>
          <w:p w14:paraId="7C06BCDD" w14:textId="24B9F734" w:rsidR="00AD6D1D" w:rsidRPr="00AD6D1D" w:rsidRDefault="00AD6D1D" w:rsidP="002F46BF">
            <w:pPr>
              <w:rPr>
                <w:rFonts w:cstheme="minorHAnsi"/>
                <w:b w:val="0"/>
                <w:bCs w:val="0"/>
                <w:color w:val="000000" w:themeColor="text1"/>
                <w:sz w:val="20"/>
                <w:szCs w:val="20"/>
              </w:rPr>
            </w:pPr>
            <w:r w:rsidRPr="00AD6D1D">
              <w:rPr>
                <w:rFonts w:cstheme="minorHAnsi"/>
                <w:b w:val="0"/>
                <w:bCs w:val="0"/>
                <w:color w:val="000000" w:themeColor="text1"/>
                <w:sz w:val="20"/>
                <w:szCs w:val="20"/>
              </w:rPr>
              <w:t>Tips for interviewing</w:t>
            </w:r>
          </w:p>
        </w:tc>
        <w:tc>
          <w:tcPr>
            <w:tcW w:w="5579" w:type="dxa"/>
          </w:tcPr>
          <w:p w14:paraId="29886DF0" w14:textId="2C1B0F9F" w:rsidR="00AD6D1D" w:rsidRPr="00AD6D1D" w:rsidRDefault="00000000" w:rsidP="002F46BF">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hyperlink r:id="rId13" w:history="1">
              <w:r w:rsidR="00AD6D1D" w:rsidRPr="00AD6D1D">
                <w:rPr>
                  <w:rStyle w:val="Hyperlink"/>
                  <w:rFonts w:cstheme="minorHAnsi"/>
                  <w:sz w:val="20"/>
                  <w:szCs w:val="20"/>
                </w:rPr>
                <w:t>https://resources.nejmcareercenter.org/article/interviewing-skills-for-job-seeking-physicians/</w:t>
              </w:r>
            </w:hyperlink>
          </w:p>
        </w:tc>
      </w:tr>
      <w:tr w:rsidR="00AD6D1D" w:rsidRPr="00AD6D1D" w14:paraId="25D133CB" w14:textId="77777777" w:rsidTr="00147C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6" w:type="dxa"/>
          </w:tcPr>
          <w:p w14:paraId="600CCB42" w14:textId="77777777" w:rsidR="00AD6D1D" w:rsidRPr="00AD6D1D" w:rsidRDefault="00AD6D1D" w:rsidP="002F46BF">
            <w:pPr>
              <w:rPr>
                <w:rFonts w:cstheme="minorHAnsi"/>
                <w:b w:val="0"/>
                <w:bCs w:val="0"/>
                <w:color w:val="000000" w:themeColor="text1"/>
                <w:sz w:val="20"/>
                <w:szCs w:val="20"/>
              </w:rPr>
            </w:pPr>
          </w:p>
        </w:tc>
        <w:tc>
          <w:tcPr>
            <w:tcW w:w="5579" w:type="dxa"/>
          </w:tcPr>
          <w:p w14:paraId="65DE8CEC" w14:textId="7087016A" w:rsidR="00AD6D1D" w:rsidRPr="00AD6D1D" w:rsidRDefault="00000000" w:rsidP="002F46BF">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hyperlink r:id="rId14" w:history="1">
              <w:r w:rsidR="00AD6D1D" w:rsidRPr="00AD6D1D">
                <w:rPr>
                  <w:rStyle w:val="Hyperlink"/>
                  <w:rFonts w:cstheme="minorHAnsi"/>
                  <w:sz w:val="20"/>
                  <w:szCs w:val="20"/>
                </w:rPr>
                <w:t>https://careers.jamanetwork.com/article/physician-interview-guide-what-you-must-ask</w:t>
              </w:r>
            </w:hyperlink>
          </w:p>
        </w:tc>
      </w:tr>
      <w:tr w:rsidR="00AD6D1D" w:rsidRPr="00AD6D1D" w14:paraId="44EF2F61" w14:textId="77777777" w:rsidTr="00974C7F">
        <w:tc>
          <w:tcPr>
            <w:cnfStyle w:val="001000000000" w:firstRow="0" w:lastRow="0" w:firstColumn="1" w:lastColumn="0" w:oddVBand="0" w:evenVBand="0" w:oddHBand="0" w:evenHBand="0" w:firstRowFirstColumn="0" w:firstRowLastColumn="0" w:lastRowFirstColumn="0" w:lastRowLastColumn="0"/>
            <w:tcW w:w="3956" w:type="dxa"/>
          </w:tcPr>
          <w:p w14:paraId="16634F48" w14:textId="77777777" w:rsidR="00AD6D1D" w:rsidRPr="00AD6D1D" w:rsidRDefault="00AD6D1D" w:rsidP="002F46BF">
            <w:pPr>
              <w:rPr>
                <w:rFonts w:cstheme="minorHAnsi"/>
                <w:b w:val="0"/>
                <w:bCs w:val="0"/>
                <w:color w:val="000000" w:themeColor="text1"/>
                <w:sz w:val="20"/>
                <w:szCs w:val="20"/>
              </w:rPr>
            </w:pPr>
          </w:p>
        </w:tc>
        <w:tc>
          <w:tcPr>
            <w:tcW w:w="5579" w:type="dxa"/>
          </w:tcPr>
          <w:p w14:paraId="7AE52CA8" w14:textId="0FB5A061" w:rsidR="00AD6D1D" w:rsidRPr="00AD6D1D" w:rsidRDefault="00000000" w:rsidP="002F46BF">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hyperlink r:id="rId15" w:history="1">
              <w:r w:rsidR="00AD6D1D" w:rsidRPr="00AD6D1D">
                <w:rPr>
                  <w:rStyle w:val="Hyperlink"/>
                  <w:rFonts w:cstheme="minorHAnsi"/>
                  <w:sz w:val="20"/>
                  <w:szCs w:val="20"/>
                </w:rPr>
                <w:t>https://www.aafp.org/pubs/fpm/issues/2001/0100/p38.html</w:t>
              </w:r>
            </w:hyperlink>
          </w:p>
        </w:tc>
      </w:tr>
    </w:tbl>
    <w:p w14:paraId="006D42A9" w14:textId="77777777" w:rsidR="00EC346F" w:rsidRDefault="00EC346F" w:rsidP="007C1A9B">
      <w:pPr>
        <w:spacing w:after="0"/>
        <w:rPr>
          <w:rFonts w:ascii="Cambria" w:hAnsi="Cambria"/>
          <w:color w:val="0070C0"/>
          <w:sz w:val="28"/>
          <w:szCs w:val="28"/>
        </w:rPr>
      </w:pPr>
    </w:p>
    <w:p w14:paraId="5C553D2E" w14:textId="6FBB5308" w:rsidR="00A560D0" w:rsidRPr="00A32793" w:rsidRDefault="00A32793" w:rsidP="007C1A9B">
      <w:pPr>
        <w:spacing w:after="0"/>
        <w:rPr>
          <w:rFonts w:ascii="Cambria" w:hAnsi="Cambria"/>
          <w:color w:val="0070C0"/>
          <w:sz w:val="28"/>
          <w:szCs w:val="28"/>
        </w:rPr>
      </w:pPr>
      <w:r>
        <w:rPr>
          <w:rFonts w:ascii="Cambria" w:hAnsi="Cambria"/>
          <w:color w:val="0070C0"/>
          <w:sz w:val="28"/>
          <w:szCs w:val="28"/>
        </w:rPr>
        <w:t>Selected</w:t>
      </w:r>
      <w:r w:rsidR="002955CC">
        <w:rPr>
          <w:rFonts w:ascii="Cambria" w:hAnsi="Cambria"/>
          <w:color w:val="0070C0"/>
          <w:sz w:val="28"/>
          <w:szCs w:val="28"/>
        </w:rPr>
        <w:t xml:space="preserve"> Resources</w:t>
      </w:r>
    </w:p>
    <w:p w14:paraId="4160761D" w14:textId="77777777" w:rsidR="0045010D" w:rsidRDefault="0045010D" w:rsidP="00FA4C2E">
      <w:pPr>
        <w:spacing w:after="0"/>
        <w:rPr>
          <w:rFonts w:cstheme="minorHAnsi"/>
        </w:rPr>
      </w:pPr>
    </w:p>
    <w:p w14:paraId="0861DCF2" w14:textId="1FF873DC" w:rsidR="0045010D" w:rsidRPr="00AD6D1D" w:rsidRDefault="0045010D" w:rsidP="00D62BFD">
      <w:pPr>
        <w:pStyle w:val="ListParagraph"/>
        <w:numPr>
          <w:ilvl w:val="0"/>
          <w:numId w:val="14"/>
        </w:numPr>
        <w:spacing w:after="0"/>
        <w:rPr>
          <w:rFonts w:cstheme="minorHAnsi"/>
        </w:rPr>
      </w:pPr>
      <w:r w:rsidRPr="00AD6D1D">
        <w:rPr>
          <w:rFonts w:cstheme="minorHAnsi"/>
          <w:color w:val="212121"/>
          <w:shd w:val="clear" w:color="auto" w:fill="FFFFFF"/>
        </w:rPr>
        <w:t>Bradley KE, McClain R, Berger JS, Andolsek KM. Successfully Navigating the Physician Job Interview. J Grad Med Educ. 2019 Oct;11(5):611-612.</w:t>
      </w:r>
    </w:p>
    <w:p w14:paraId="66E767BD" w14:textId="77777777" w:rsidR="0045010D" w:rsidRPr="00AD6D1D" w:rsidRDefault="0045010D" w:rsidP="0045010D">
      <w:pPr>
        <w:pStyle w:val="ListParagraph"/>
        <w:numPr>
          <w:ilvl w:val="0"/>
          <w:numId w:val="14"/>
        </w:numPr>
        <w:spacing w:after="0"/>
        <w:rPr>
          <w:rFonts w:cstheme="minorHAnsi"/>
        </w:rPr>
      </w:pPr>
      <w:r w:rsidRPr="00AD6D1D">
        <w:rPr>
          <w:rFonts w:cstheme="minorHAnsi"/>
          <w:color w:val="212121"/>
          <w:shd w:val="clear" w:color="auto" w:fill="FFFFFF"/>
        </w:rPr>
        <w:t>Byerley J, Tilly A. A Simple Pyramid Model for Career Guidance. J Grad Med Educ. 2018 Oct;10(5):497-499. </w:t>
      </w:r>
    </w:p>
    <w:p w14:paraId="0A491416" w14:textId="77777777" w:rsidR="0045010D" w:rsidRPr="00AD6D1D" w:rsidRDefault="0045010D" w:rsidP="0045010D">
      <w:pPr>
        <w:pStyle w:val="ListParagraph"/>
        <w:numPr>
          <w:ilvl w:val="0"/>
          <w:numId w:val="14"/>
        </w:numPr>
        <w:spacing w:after="0"/>
        <w:rPr>
          <w:rFonts w:cstheme="minorHAnsi"/>
        </w:rPr>
      </w:pPr>
      <w:r w:rsidRPr="00AD6D1D">
        <w:rPr>
          <w:rFonts w:cstheme="minorHAnsi"/>
          <w:color w:val="212121"/>
          <w:shd w:val="clear" w:color="auto" w:fill="FFFFFF"/>
        </w:rPr>
        <w:t>Garcia RL, Windish DM, Rosenbaum JR. Resident career planning needs in internal medicine: a qualitative assessment. J Grad Med Educ. 2010 Dec;2(4):518-22. </w:t>
      </w:r>
    </w:p>
    <w:p w14:paraId="6EAF307D" w14:textId="77777777" w:rsidR="00FA4C2E" w:rsidRPr="007C1A9B" w:rsidRDefault="00FA4C2E" w:rsidP="007C1A9B">
      <w:pPr>
        <w:spacing w:after="0"/>
        <w:rPr>
          <w:rFonts w:cstheme="minorHAnsi"/>
        </w:rPr>
      </w:pPr>
    </w:p>
    <w:sectPr w:rsidR="00FA4C2E" w:rsidRPr="007C1A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367FD"/>
    <w:multiLevelType w:val="multilevel"/>
    <w:tmpl w:val="276A5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76F040E"/>
    <w:multiLevelType w:val="hybridMultilevel"/>
    <w:tmpl w:val="00BCAB70"/>
    <w:lvl w:ilvl="0" w:tplc="1ADAA6A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053D43"/>
    <w:multiLevelType w:val="hybridMultilevel"/>
    <w:tmpl w:val="E0EC7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8A35FC"/>
    <w:multiLevelType w:val="multilevel"/>
    <w:tmpl w:val="9EB04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0FC4C12"/>
    <w:multiLevelType w:val="hybridMultilevel"/>
    <w:tmpl w:val="0854F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730149"/>
    <w:multiLevelType w:val="hybridMultilevel"/>
    <w:tmpl w:val="395AA7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F750701"/>
    <w:multiLevelType w:val="multilevel"/>
    <w:tmpl w:val="D8D60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03846A7"/>
    <w:multiLevelType w:val="hybridMultilevel"/>
    <w:tmpl w:val="679C53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36926CE"/>
    <w:multiLevelType w:val="hybridMultilevel"/>
    <w:tmpl w:val="FB5A5008"/>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58F922A2"/>
    <w:multiLevelType w:val="multilevel"/>
    <w:tmpl w:val="D58E3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C1733CE"/>
    <w:multiLevelType w:val="hybridMultilevel"/>
    <w:tmpl w:val="61E864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40E3661"/>
    <w:multiLevelType w:val="hybridMultilevel"/>
    <w:tmpl w:val="C22A4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252457"/>
    <w:multiLevelType w:val="multilevel"/>
    <w:tmpl w:val="AD5C1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44257EF"/>
    <w:multiLevelType w:val="hybridMultilevel"/>
    <w:tmpl w:val="BEEE69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A835746"/>
    <w:multiLevelType w:val="multilevel"/>
    <w:tmpl w:val="9B6E5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77624030">
    <w:abstractNumId w:val="2"/>
  </w:num>
  <w:num w:numId="2" w16cid:durableId="225605729">
    <w:abstractNumId w:val="6"/>
  </w:num>
  <w:num w:numId="3" w16cid:durableId="131487171">
    <w:abstractNumId w:val="9"/>
  </w:num>
  <w:num w:numId="4" w16cid:durableId="1553231349">
    <w:abstractNumId w:val="12"/>
  </w:num>
  <w:num w:numId="5" w16cid:durableId="1394961109">
    <w:abstractNumId w:val="0"/>
  </w:num>
  <w:num w:numId="6" w16cid:durableId="259457383">
    <w:abstractNumId w:val="3"/>
  </w:num>
  <w:num w:numId="7" w16cid:durableId="1480078362">
    <w:abstractNumId w:val="14"/>
  </w:num>
  <w:num w:numId="8" w16cid:durableId="76172124">
    <w:abstractNumId w:val="10"/>
  </w:num>
  <w:num w:numId="9" w16cid:durableId="1328753954">
    <w:abstractNumId w:val="7"/>
  </w:num>
  <w:num w:numId="10" w16cid:durableId="1619601515">
    <w:abstractNumId w:val="13"/>
  </w:num>
  <w:num w:numId="11" w16cid:durableId="1946692366">
    <w:abstractNumId w:val="1"/>
  </w:num>
  <w:num w:numId="12" w16cid:durableId="1909269909">
    <w:abstractNumId w:val="8"/>
  </w:num>
  <w:num w:numId="13" w16cid:durableId="480659051">
    <w:abstractNumId w:val="11"/>
  </w:num>
  <w:num w:numId="14" w16cid:durableId="284311154">
    <w:abstractNumId w:val="4"/>
  </w:num>
  <w:num w:numId="15" w16cid:durableId="5851862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661"/>
    <w:rsid w:val="00063403"/>
    <w:rsid w:val="000669F7"/>
    <w:rsid w:val="000B7EF9"/>
    <w:rsid w:val="000F6123"/>
    <w:rsid w:val="001323B0"/>
    <w:rsid w:val="00134823"/>
    <w:rsid w:val="00142836"/>
    <w:rsid w:val="00144649"/>
    <w:rsid w:val="0018538F"/>
    <w:rsid w:val="001F1810"/>
    <w:rsid w:val="00245B0E"/>
    <w:rsid w:val="002518B7"/>
    <w:rsid w:val="002955CC"/>
    <w:rsid w:val="002A3704"/>
    <w:rsid w:val="002B2B86"/>
    <w:rsid w:val="002B53F7"/>
    <w:rsid w:val="002D57FE"/>
    <w:rsid w:val="002E7F69"/>
    <w:rsid w:val="002F46BF"/>
    <w:rsid w:val="00302483"/>
    <w:rsid w:val="00304799"/>
    <w:rsid w:val="003459B9"/>
    <w:rsid w:val="0035121F"/>
    <w:rsid w:val="00371C53"/>
    <w:rsid w:val="004024B3"/>
    <w:rsid w:val="00447A35"/>
    <w:rsid w:val="0045010D"/>
    <w:rsid w:val="004816CB"/>
    <w:rsid w:val="00485944"/>
    <w:rsid w:val="00495BD0"/>
    <w:rsid w:val="004B6F30"/>
    <w:rsid w:val="00543E5C"/>
    <w:rsid w:val="00552D29"/>
    <w:rsid w:val="00580D88"/>
    <w:rsid w:val="005A5D7C"/>
    <w:rsid w:val="005B1661"/>
    <w:rsid w:val="005B69BC"/>
    <w:rsid w:val="005D115A"/>
    <w:rsid w:val="006079D8"/>
    <w:rsid w:val="006143BD"/>
    <w:rsid w:val="00640774"/>
    <w:rsid w:val="00641E7C"/>
    <w:rsid w:val="00643098"/>
    <w:rsid w:val="0067219A"/>
    <w:rsid w:val="00686D8E"/>
    <w:rsid w:val="006916A8"/>
    <w:rsid w:val="006A204A"/>
    <w:rsid w:val="006B6827"/>
    <w:rsid w:val="006C39D3"/>
    <w:rsid w:val="006C49DC"/>
    <w:rsid w:val="006C6516"/>
    <w:rsid w:val="006E1040"/>
    <w:rsid w:val="0071622D"/>
    <w:rsid w:val="00730565"/>
    <w:rsid w:val="007514EC"/>
    <w:rsid w:val="0075779B"/>
    <w:rsid w:val="00770A9A"/>
    <w:rsid w:val="007C1A9B"/>
    <w:rsid w:val="007D6BC1"/>
    <w:rsid w:val="007E18C6"/>
    <w:rsid w:val="0081438B"/>
    <w:rsid w:val="0081588C"/>
    <w:rsid w:val="00857254"/>
    <w:rsid w:val="008A1B2A"/>
    <w:rsid w:val="008D2DC4"/>
    <w:rsid w:val="008D338C"/>
    <w:rsid w:val="008D4631"/>
    <w:rsid w:val="00916EAF"/>
    <w:rsid w:val="00923AC0"/>
    <w:rsid w:val="009371A1"/>
    <w:rsid w:val="00945ACC"/>
    <w:rsid w:val="0096673F"/>
    <w:rsid w:val="009723DF"/>
    <w:rsid w:val="00976038"/>
    <w:rsid w:val="009922EA"/>
    <w:rsid w:val="009F00F6"/>
    <w:rsid w:val="00A0107A"/>
    <w:rsid w:val="00A32793"/>
    <w:rsid w:val="00A36072"/>
    <w:rsid w:val="00A435DE"/>
    <w:rsid w:val="00A560D0"/>
    <w:rsid w:val="00AB69D4"/>
    <w:rsid w:val="00AC5B0C"/>
    <w:rsid w:val="00AD6D1D"/>
    <w:rsid w:val="00AE5AE5"/>
    <w:rsid w:val="00B37D38"/>
    <w:rsid w:val="00B65A1E"/>
    <w:rsid w:val="00B72C3A"/>
    <w:rsid w:val="00BE7A7D"/>
    <w:rsid w:val="00C603C1"/>
    <w:rsid w:val="00C61780"/>
    <w:rsid w:val="00C805A9"/>
    <w:rsid w:val="00C80ADB"/>
    <w:rsid w:val="00CA0AF6"/>
    <w:rsid w:val="00CA6BEF"/>
    <w:rsid w:val="00CD0200"/>
    <w:rsid w:val="00CE6524"/>
    <w:rsid w:val="00D4583D"/>
    <w:rsid w:val="00D52B62"/>
    <w:rsid w:val="00D54EB7"/>
    <w:rsid w:val="00D62BFD"/>
    <w:rsid w:val="00D73876"/>
    <w:rsid w:val="00D83ABC"/>
    <w:rsid w:val="00D87E7E"/>
    <w:rsid w:val="00DB0559"/>
    <w:rsid w:val="00DC4460"/>
    <w:rsid w:val="00DE6945"/>
    <w:rsid w:val="00DF6D3E"/>
    <w:rsid w:val="00E57511"/>
    <w:rsid w:val="00EC346F"/>
    <w:rsid w:val="00EE1077"/>
    <w:rsid w:val="00EE54BE"/>
    <w:rsid w:val="00F50F76"/>
    <w:rsid w:val="00FA4C2E"/>
    <w:rsid w:val="00FB57BA"/>
    <w:rsid w:val="00FF3DA8"/>
    <w:rsid w:val="02F74304"/>
    <w:rsid w:val="1ACEEE3D"/>
    <w:rsid w:val="2E2AF943"/>
    <w:rsid w:val="4B4815A3"/>
    <w:rsid w:val="59C52A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E879F"/>
  <w15:chartTrackingRefBased/>
  <w15:docId w15:val="{AA0C4462-E299-41AD-9D1C-63AFAD19C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72C3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B72C3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4C2E"/>
    <w:pPr>
      <w:ind w:left="720"/>
      <w:contextualSpacing/>
    </w:pPr>
  </w:style>
  <w:style w:type="table" w:styleId="TableGrid">
    <w:name w:val="Table Grid"/>
    <w:basedOn w:val="TableNormal"/>
    <w:uiPriority w:val="39"/>
    <w:rsid w:val="00FA4C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72C3A"/>
    <w:rPr>
      <w:b/>
      <w:bCs/>
    </w:rPr>
  </w:style>
  <w:style w:type="character" w:customStyle="1" w:styleId="Heading2Char">
    <w:name w:val="Heading 2 Char"/>
    <w:basedOn w:val="DefaultParagraphFont"/>
    <w:link w:val="Heading2"/>
    <w:uiPriority w:val="9"/>
    <w:rsid w:val="00B72C3A"/>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B72C3A"/>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B72C3A"/>
    <w:pPr>
      <w:spacing w:before="100" w:beforeAutospacing="1" w:after="100" w:afterAutospacing="1" w:line="240" w:lineRule="auto"/>
    </w:pPr>
    <w:rPr>
      <w:rFonts w:ascii="Times New Roman" w:eastAsia="Times New Roman" w:hAnsi="Times New Roman" w:cs="Times New Roman"/>
      <w:sz w:val="24"/>
      <w:szCs w:val="24"/>
    </w:rPr>
  </w:style>
  <w:style w:type="table" w:styleId="PlainTable1">
    <w:name w:val="Plain Table 1"/>
    <w:basedOn w:val="TableNormal"/>
    <w:uiPriority w:val="41"/>
    <w:rsid w:val="009922E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81438B"/>
    <w:rPr>
      <w:color w:val="0563C1" w:themeColor="hyperlink"/>
      <w:u w:val="single"/>
    </w:rPr>
  </w:style>
  <w:style w:type="character" w:styleId="UnresolvedMention">
    <w:name w:val="Unresolved Mention"/>
    <w:basedOn w:val="DefaultParagraphFont"/>
    <w:uiPriority w:val="99"/>
    <w:semiHidden/>
    <w:unhideWhenUsed/>
    <w:rsid w:val="0081438B"/>
    <w:rPr>
      <w:color w:val="605E5C"/>
      <w:shd w:val="clear" w:color="auto" w:fill="E1DFDD"/>
    </w:rPr>
  </w:style>
  <w:style w:type="table" w:styleId="GridTable4-Accent1">
    <w:name w:val="Grid Table 4 Accent 1"/>
    <w:basedOn w:val="TableNormal"/>
    <w:uiPriority w:val="49"/>
    <w:rsid w:val="00C805A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FollowedHyperlink">
    <w:name w:val="FollowedHyperlink"/>
    <w:basedOn w:val="DefaultParagraphFont"/>
    <w:uiPriority w:val="99"/>
    <w:semiHidden/>
    <w:unhideWhenUsed/>
    <w:rsid w:val="00641E7C"/>
    <w:rPr>
      <w:color w:val="954F72" w:themeColor="followed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F50F76"/>
    <w:rPr>
      <w:b/>
      <w:bCs/>
    </w:rPr>
  </w:style>
  <w:style w:type="character" w:customStyle="1" w:styleId="CommentSubjectChar">
    <w:name w:val="Comment Subject Char"/>
    <w:basedOn w:val="CommentTextChar"/>
    <w:link w:val="CommentSubject"/>
    <w:uiPriority w:val="99"/>
    <w:semiHidden/>
    <w:rsid w:val="00F50F76"/>
    <w:rPr>
      <w:b/>
      <w:bCs/>
      <w:sz w:val="20"/>
      <w:szCs w:val="20"/>
    </w:rPr>
  </w:style>
  <w:style w:type="paragraph" w:styleId="Revision">
    <w:name w:val="Revision"/>
    <w:hidden/>
    <w:uiPriority w:val="99"/>
    <w:semiHidden/>
    <w:rsid w:val="00F50F76"/>
    <w:pPr>
      <w:spacing w:after="0" w:line="240" w:lineRule="auto"/>
    </w:pPr>
  </w:style>
  <w:style w:type="paragraph" w:styleId="BalloonText">
    <w:name w:val="Balloon Text"/>
    <w:basedOn w:val="Normal"/>
    <w:link w:val="BalloonTextChar"/>
    <w:uiPriority w:val="99"/>
    <w:semiHidden/>
    <w:unhideWhenUsed/>
    <w:rsid w:val="003024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24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759743">
      <w:bodyDiv w:val="1"/>
      <w:marLeft w:val="0"/>
      <w:marRight w:val="0"/>
      <w:marTop w:val="0"/>
      <w:marBottom w:val="0"/>
      <w:divBdr>
        <w:top w:val="none" w:sz="0" w:space="0" w:color="auto"/>
        <w:left w:val="none" w:sz="0" w:space="0" w:color="auto"/>
        <w:bottom w:val="none" w:sz="0" w:space="0" w:color="auto"/>
        <w:right w:val="none" w:sz="0" w:space="0" w:color="auto"/>
      </w:divBdr>
    </w:div>
    <w:div w:id="709113137">
      <w:bodyDiv w:val="1"/>
      <w:marLeft w:val="0"/>
      <w:marRight w:val="0"/>
      <w:marTop w:val="0"/>
      <w:marBottom w:val="0"/>
      <w:divBdr>
        <w:top w:val="none" w:sz="0" w:space="0" w:color="auto"/>
        <w:left w:val="none" w:sz="0" w:space="0" w:color="auto"/>
        <w:bottom w:val="none" w:sz="0" w:space="0" w:color="auto"/>
        <w:right w:val="none" w:sz="0" w:space="0" w:color="auto"/>
      </w:divBdr>
      <w:divsChild>
        <w:div w:id="662321392">
          <w:marLeft w:val="0"/>
          <w:marRight w:val="0"/>
          <w:marTop w:val="0"/>
          <w:marBottom w:val="0"/>
          <w:divBdr>
            <w:top w:val="none" w:sz="0" w:space="0" w:color="auto"/>
            <w:left w:val="none" w:sz="0" w:space="0" w:color="auto"/>
            <w:bottom w:val="none" w:sz="0" w:space="0" w:color="auto"/>
            <w:right w:val="none" w:sz="0" w:space="0" w:color="auto"/>
          </w:divBdr>
        </w:div>
        <w:div w:id="1671330499">
          <w:marLeft w:val="0"/>
          <w:marRight w:val="0"/>
          <w:marTop w:val="0"/>
          <w:marBottom w:val="0"/>
          <w:divBdr>
            <w:top w:val="none" w:sz="0" w:space="0" w:color="auto"/>
            <w:left w:val="none" w:sz="0" w:space="0" w:color="auto"/>
            <w:bottom w:val="none" w:sz="0" w:space="0" w:color="auto"/>
            <w:right w:val="none" w:sz="0" w:space="0" w:color="auto"/>
          </w:divBdr>
        </w:div>
      </w:divsChild>
    </w:div>
    <w:div w:id="183587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assn.org/medical-residents/transition-resident-attending/creating-standout-medical-cv" TargetMode="External"/><Relationship Id="rId13" Type="http://schemas.openxmlformats.org/officeDocument/2006/relationships/hyperlink" Target="https://resources.nejmcareercenter.org/article/interviewing-skills-for-job-seeking-physicians/" TargetMode="External"/><Relationship Id="rId3" Type="http://schemas.openxmlformats.org/officeDocument/2006/relationships/settings" Target="settings.xml"/><Relationship Id="rId7" Type="http://schemas.openxmlformats.org/officeDocument/2006/relationships/hyperlink" Target="https://www.aap.org/en/career-resources/conducting-your-job-search/prepare-a-curriculum-vitae-and-cover-letter/" TargetMode="External"/><Relationship Id="rId12" Type="http://schemas.openxmlformats.org/officeDocument/2006/relationships/hyperlink" Target="https://www.aap.org/en/career-resources/planning-your-career/salar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jobs.pedjobs.org/jobseekers/" TargetMode="External"/><Relationship Id="rId11" Type="http://schemas.openxmlformats.org/officeDocument/2006/relationships/hyperlink" Target="https://www.aap.org/en/career-resources/planning-your-career/credentialing/" TargetMode="External"/><Relationship Id="rId5" Type="http://schemas.openxmlformats.org/officeDocument/2006/relationships/hyperlink" Target="https://www.aap.org/en/career-resources/planning-your-career/" TargetMode="External"/><Relationship Id="rId15" Type="http://schemas.openxmlformats.org/officeDocument/2006/relationships/hyperlink" Target="https://www.aafp.org/pubs/fpm/issues/2001/0100/p38.html" TargetMode="External"/><Relationship Id="rId10" Type="http://schemas.openxmlformats.org/officeDocument/2006/relationships/hyperlink" Target="https://resources.nejmcareercenter.org/article/physician-employment-contracts-strategies-for-avoiding-pitfalls/" TargetMode="External"/><Relationship Id="rId4" Type="http://schemas.openxmlformats.org/officeDocument/2006/relationships/webSettings" Target="webSettings.xml"/><Relationship Id="rId9" Type="http://schemas.openxmlformats.org/officeDocument/2006/relationships/hyperlink" Target="https://www.ama-assn.org/medical-residents/transition-resident-attending/understanding-physician-employment-contracts" TargetMode="External"/><Relationship Id="rId14" Type="http://schemas.openxmlformats.org/officeDocument/2006/relationships/hyperlink" Target="https://careers.jamanetwork.com/article/physician-interview-guide-what-you-must-a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4</Pages>
  <Words>1765</Words>
  <Characters>10063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Rochester</Company>
  <LinksUpToDate>false</LinksUpToDate>
  <CharactersWithSpaces>11805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Gellin, Caren</dc:creator>
  <cp:keywords/>
  <dc:description/>
  <cp:lastModifiedBy>Gellin, Caren</cp:lastModifiedBy>
  <cp:revision>13</cp:revision>
  <dcterms:created xsi:type="dcterms:W3CDTF">2023-11-25T00:11:00Z</dcterms:created>
  <dcterms:modified xsi:type="dcterms:W3CDTF">2024-05-28T18:47:00Z</dcterms:modified>
</cp:coreProperties>
</file>