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9913" w14:textId="680749ED" w:rsidR="00870305" w:rsidRDefault="00870305" w:rsidP="00870305">
      <w:pPr>
        <w:spacing w:after="0"/>
        <w:rPr>
          <w:rFonts w:ascii="Cambria" w:hAnsi="Cambria"/>
          <w:b/>
          <w:sz w:val="36"/>
          <w:szCs w:val="28"/>
        </w:rPr>
      </w:pPr>
      <w:r>
        <w:rPr>
          <w:rFonts w:ascii="Cambria" w:hAnsi="Cambria"/>
          <w:b/>
          <w:sz w:val="36"/>
          <w:szCs w:val="28"/>
        </w:rPr>
        <w:t>ACGME</w:t>
      </w:r>
    </w:p>
    <w:p w14:paraId="20D11A69" w14:textId="2663A41D" w:rsidR="00870305" w:rsidRDefault="00870305" w:rsidP="00870305">
      <w:pPr>
        <w:spacing w:after="0"/>
        <w:rPr>
          <w:rFonts w:ascii="Cambria" w:hAnsi="Cambria"/>
          <w:sz w:val="24"/>
          <w:szCs w:val="28"/>
        </w:rPr>
      </w:pPr>
      <w:r>
        <w:rPr>
          <w:rFonts w:ascii="Cambria" w:hAnsi="Cambria"/>
          <w:sz w:val="24"/>
          <w:szCs w:val="28"/>
        </w:rPr>
        <w:t>Jacqueline Leja, MD and Emily Disbrow, MD</w:t>
      </w:r>
    </w:p>
    <w:p w14:paraId="10EF03F1" w14:textId="5C9CCC68" w:rsidR="00870305" w:rsidRDefault="00DF3E16" w:rsidP="00870305">
      <w:pPr>
        <w:spacing w:after="0"/>
        <w:rPr>
          <w:rFonts w:ascii="Cambria" w:hAnsi="Cambria"/>
        </w:rPr>
      </w:pPr>
      <w:r w:rsidRPr="0076251F">
        <w:rPr>
          <w:rFonts w:ascii="Cambria" w:hAnsi="Cambria"/>
        </w:rPr>
        <w:t>Edited by</w:t>
      </w:r>
      <w:r>
        <w:rPr>
          <w:rFonts w:ascii="Cambria" w:hAnsi="Cambria"/>
        </w:rPr>
        <w:t xml:space="preserve"> Elizabeth Nelson, MD and Caren Gellin, MD</w:t>
      </w:r>
    </w:p>
    <w:p w14:paraId="29EC891C" w14:textId="77777777" w:rsidR="00DF3E16" w:rsidRDefault="00DF3E16" w:rsidP="00870305">
      <w:pPr>
        <w:spacing w:after="0"/>
        <w:rPr>
          <w:rFonts w:ascii="Cambria" w:hAnsi="Cambria"/>
          <w:color w:val="0070C0"/>
          <w:sz w:val="28"/>
          <w:szCs w:val="28"/>
        </w:rPr>
      </w:pPr>
    </w:p>
    <w:p w14:paraId="3C76E734" w14:textId="77777777" w:rsidR="00870305" w:rsidRDefault="00870305" w:rsidP="00870305">
      <w:pPr>
        <w:contextualSpacing/>
        <w:rPr>
          <w:rFonts w:ascii="Cambria" w:hAnsi="Cambria"/>
          <w:color w:val="0070C0"/>
          <w:sz w:val="28"/>
          <w:szCs w:val="28"/>
        </w:rPr>
      </w:pPr>
      <w:r>
        <w:rPr>
          <w:rFonts w:ascii="Cambria" w:hAnsi="Cambria"/>
          <w:color w:val="0070C0"/>
          <w:sz w:val="28"/>
          <w:szCs w:val="28"/>
        </w:rPr>
        <w:t>Introduction</w:t>
      </w:r>
    </w:p>
    <w:p w14:paraId="0D94C85F" w14:textId="59875917" w:rsidR="00870305" w:rsidRDefault="00870305" w:rsidP="00870305">
      <w:pPr>
        <w:contextualSpacing/>
        <w:rPr>
          <w:rFonts w:ascii="Cambria" w:hAnsi="Cambria"/>
          <w:color w:val="0070C0"/>
          <w:sz w:val="28"/>
          <w:szCs w:val="28"/>
        </w:rPr>
      </w:pPr>
    </w:p>
    <w:p w14:paraId="389087A3" w14:textId="20042DC3" w:rsidR="00870305" w:rsidRDefault="00870305" w:rsidP="0E5EECA0">
      <w:pPr>
        <w:contextualSpacing/>
      </w:pPr>
      <w:r w:rsidRPr="0E5EECA0">
        <w:t xml:space="preserve">Program directors </w:t>
      </w:r>
      <w:r w:rsidR="006C5A61">
        <w:t xml:space="preserve">must </w:t>
      </w:r>
      <w:r w:rsidRPr="0E5EECA0">
        <w:t>work closely with the Accreditation Coun</w:t>
      </w:r>
      <w:r w:rsidR="00A07D25" w:rsidRPr="0E5EECA0">
        <w:t>c</w:t>
      </w:r>
      <w:r w:rsidRPr="0E5EECA0">
        <w:t xml:space="preserve">il for Graduate Medical Education (ACGME) </w:t>
      </w:r>
      <w:proofErr w:type="gramStart"/>
      <w:r w:rsidRPr="0E5EECA0">
        <w:t>in order to</w:t>
      </w:r>
      <w:proofErr w:type="gramEnd"/>
      <w:r w:rsidRPr="0E5EECA0">
        <w:t xml:space="preserve"> ensure that their programs are compliant with requirements and meeting standards for accreditation. </w:t>
      </w:r>
      <w:r w:rsidR="2CE8EE39" w:rsidRPr="0E5EECA0">
        <w:t>This chapter provide</w:t>
      </w:r>
      <w:r w:rsidR="001040D5">
        <w:t>s</w:t>
      </w:r>
      <w:r w:rsidR="2CE8EE39" w:rsidRPr="0E5EECA0">
        <w:t xml:space="preserve"> an overview of how the ACGME interacts with programs </w:t>
      </w:r>
      <w:r w:rsidR="006C5A61">
        <w:t>to</w:t>
      </w:r>
      <w:r w:rsidR="2CE8EE39" w:rsidRPr="0E5EECA0">
        <w:t xml:space="preserve"> monitor curriculum</w:t>
      </w:r>
      <w:r w:rsidR="006C5A61">
        <w:t xml:space="preserve">, </w:t>
      </w:r>
      <w:r w:rsidR="00371255">
        <w:t>resident milestones</w:t>
      </w:r>
      <w:r w:rsidR="006C5A61">
        <w:t xml:space="preserve">, and the clinical work environment </w:t>
      </w:r>
      <w:r w:rsidR="2CE8EE39" w:rsidRPr="0E5EECA0">
        <w:t>and help</w:t>
      </w:r>
      <w:r w:rsidR="006C5A61">
        <w:t>s</w:t>
      </w:r>
      <w:r w:rsidR="2CE8EE39" w:rsidRPr="0E5EECA0">
        <w:t xml:space="preserve"> program directors keep track of important tasks related to accreditation.</w:t>
      </w:r>
      <w:r w:rsidRPr="0E5EECA0">
        <w:t xml:space="preserve"> </w:t>
      </w:r>
      <w:r w:rsidR="00A07D25" w:rsidRPr="0E5EECA0">
        <w:t xml:space="preserve">The </w:t>
      </w:r>
      <w:hyperlink r:id="rId5" w:history="1">
        <w:r w:rsidR="00A07D25" w:rsidRPr="00DF3E16">
          <w:rPr>
            <w:rStyle w:val="Hyperlink"/>
          </w:rPr>
          <w:t>ACGME website</w:t>
        </w:r>
      </w:hyperlink>
      <w:r w:rsidR="00A07D25" w:rsidRPr="0E5EECA0">
        <w:t xml:space="preserve"> should be your first resource for further questions about this material. </w:t>
      </w:r>
    </w:p>
    <w:p w14:paraId="1BB05893" w14:textId="77777777" w:rsidR="00870305" w:rsidRDefault="00870305" w:rsidP="00870305">
      <w:pPr>
        <w:spacing w:after="0"/>
        <w:rPr>
          <w:rFonts w:cstheme="minorHAnsi"/>
        </w:rPr>
      </w:pPr>
    </w:p>
    <w:p w14:paraId="5742C981" w14:textId="5B5C62B0" w:rsidR="00870305" w:rsidRDefault="00870305" w:rsidP="00870305">
      <w:pPr>
        <w:contextualSpacing/>
        <w:rPr>
          <w:rFonts w:ascii="Cambria" w:hAnsi="Cambria"/>
          <w:color w:val="0070C0"/>
          <w:sz w:val="28"/>
          <w:szCs w:val="28"/>
        </w:rPr>
      </w:pPr>
      <w:r>
        <w:rPr>
          <w:rFonts w:ascii="Cambria" w:hAnsi="Cambria"/>
          <w:color w:val="0070C0"/>
          <w:sz w:val="28"/>
          <w:szCs w:val="28"/>
        </w:rPr>
        <w:t>ADS Updates</w:t>
      </w:r>
    </w:p>
    <w:p w14:paraId="147DFDDF" w14:textId="77777777" w:rsidR="004332F6" w:rsidRDefault="004332F6" w:rsidP="004332F6">
      <w:pPr>
        <w:contextualSpacing/>
        <w:rPr>
          <w:rFonts w:cstheme="minorHAnsi"/>
          <w:color w:val="000000" w:themeColor="text1"/>
        </w:rPr>
      </w:pPr>
    </w:p>
    <w:p w14:paraId="5DABBC90" w14:textId="67765C79" w:rsidR="004332F6" w:rsidRPr="00091EF3" w:rsidRDefault="0006507D" w:rsidP="004332F6">
      <w:pPr>
        <w:contextualSpacing/>
        <w:rPr>
          <w:color w:val="000000" w:themeColor="text1"/>
        </w:rPr>
      </w:pPr>
      <w:r>
        <w:rPr>
          <w:color w:val="000000" w:themeColor="text1"/>
        </w:rPr>
        <w:t xml:space="preserve">The </w:t>
      </w:r>
      <w:hyperlink r:id="rId6" w:history="1">
        <w:r w:rsidRPr="00DF3E16">
          <w:rPr>
            <w:rStyle w:val="Hyperlink"/>
          </w:rPr>
          <w:t>Accreditation Data System (</w:t>
        </w:r>
        <w:r w:rsidR="09D5408C" w:rsidRPr="00DF3E16">
          <w:rPr>
            <w:rStyle w:val="Hyperlink"/>
          </w:rPr>
          <w:t>ADS</w:t>
        </w:r>
        <w:r w:rsidRPr="00DF3E16">
          <w:rPr>
            <w:rStyle w:val="Hyperlink"/>
          </w:rPr>
          <w:t>)</w:t>
        </w:r>
      </w:hyperlink>
      <w:r w:rsidR="00DF3E16">
        <w:rPr>
          <w:color w:val="000000" w:themeColor="text1"/>
        </w:rPr>
        <w:t xml:space="preserve">, commonly referred to as </w:t>
      </w:r>
      <w:proofErr w:type="spellStart"/>
      <w:r w:rsidR="00DF3E16">
        <w:rPr>
          <w:color w:val="000000" w:themeColor="text1"/>
        </w:rPr>
        <w:t>WebADS</w:t>
      </w:r>
      <w:proofErr w:type="spellEnd"/>
      <w:r w:rsidR="00DF3E16">
        <w:rPr>
          <w:color w:val="000000" w:themeColor="text1"/>
        </w:rPr>
        <w:t>,</w:t>
      </w:r>
      <w:r w:rsidR="09D5408C" w:rsidRPr="0E5EECA0">
        <w:rPr>
          <w:color w:val="000000" w:themeColor="text1"/>
        </w:rPr>
        <w:t xml:space="preserve"> is a data collection tool that the ACGME uses to collect and organize the information required for accreditation purposes. </w:t>
      </w:r>
      <w:r w:rsidR="610C1B09" w:rsidRPr="0E5EECA0">
        <w:rPr>
          <w:color w:val="000000" w:themeColor="text1"/>
        </w:rPr>
        <w:t>It contains information on the residents and faculty in the program, information about training sites, resident milestone evaluations, etc.</w:t>
      </w:r>
      <w:r w:rsidR="071F0AEF" w:rsidRPr="0E5EECA0">
        <w:rPr>
          <w:color w:val="000000" w:themeColor="text1"/>
        </w:rPr>
        <w:t xml:space="preserve"> </w:t>
      </w:r>
      <w:r w:rsidR="004332F6" w:rsidRPr="0E5EECA0">
        <w:rPr>
          <w:color w:val="000000" w:themeColor="text1"/>
        </w:rPr>
        <w:t xml:space="preserve">All programs are required to </w:t>
      </w:r>
      <w:r w:rsidR="66717D87" w:rsidRPr="0E5EECA0">
        <w:rPr>
          <w:color w:val="000000" w:themeColor="text1"/>
        </w:rPr>
        <w:t xml:space="preserve">provide an </w:t>
      </w:r>
      <w:r w:rsidR="00371255">
        <w:rPr>
          <w:color w:val="000000" w:themeColor="text1"/>
        </w:rPr>
        <w:t>annual update</w:t>
      </w:r>
      <w:r w:rsidR="004332F6" w:rsidRPr="0E5EECA0">
        <w:rPr>
          <w:color w:val="000000" w:themeColor="text1"/>
        </w:rPr>
        <w:t xml:space="preserve"> in the ACGME ADS system during the Annual Update window</w:t>
      </w:r>
      <w:r w:rsidR="00C41AF9" w:rsidRPr="0E5EECA0">
        <w:rPr>
          <w:color w:val="000000" w:themeColor="text1"/>
        </w:rPr>
        <w:t xml:space="preserve"> (usually July through August, due the end of August). </w:t>
      </w:r>
      <w:r w:rsidR="00091EF3">
        <w:rPr>
          <w:color w:val="000000" w:themeColor="text1"/>
        </w:rPr>
        <w:t>It can, however,</w:t>
      </w:r>
      <w:r w:rsidR="00091EF3">
        <w:rPr>
          <w:rFonts w:cstheme="minorHAnsi"/>
          <w:color w:val="000000" w:themeColor="text1"/>
        </w:rPr>
        <w:t xml:space="preserve"> </w:t>
      </w:r>
      <w:r w:rsidR="004332F6">
        <w:rPr>
          <w:rFonts w:cstheme="minorHAnsi"/>
          <w:color w:val="000000" w:themeColor="text1"/>
        </w:rPr>
        <w:t xml:space="preserve">be updated and edited throughout the academic year, </w:t>
      </w:r>
      <w:r w:rsidR="003020A2">
        <w:rPr>
          <w:rFonts w:cstheme="minorHAnsi"/>
          <w:color w:val="000000" w:themeColor="text1"/>
        </w:rPr>
        <w:t xml:space="preserve">and </w:t>
      </w:r>
      <w:r w:rsidR="004332F6">
        <w:rPr>
          <w:rFonts w:cstheme="minorHAnsi"/>
          <w:color w:val="000000" w:themeColor="text1"/>
        </w:rPr>
        <w:t>there is no need to wait for the annual update window.</w:t>
      </w:r>
      <w:r w:rsidR="00C41AF9">
        <w:rPr>
          <w:rFonts w:cstheme="minorHAnsi"/>
          <w:color w:val="000000" w:themeColor="text1"/>
        </w:rPr>
        <w:t xml:space="preserve"> </w:t>
      </w:r>
    </w:p>
    <w:p w14:paraId="644A4FAA" w14:textId="77777777" w:rsidR="00091EF3" w:rsidRDefault="00091EF3" w:rsidP="004332F6">
      <w:pPr>
        <w:contextualSpacing/>
        <w:rPr>
          <w:rFonts w:cstheme="minorHAnsi"/>
          <w:color w:val="000000" w:themeColor="text1"/>
        </w:rPr>
      </w:pPr>
    </w:p>
    <w:p w14:paraId="26F7E7E7" w14:textId="5573D623" w:rsidR="00203AE3" w:rsidRDefault="00C41AF9" w:rsidP="00C41AF9">
      <w:pPr>
        <w:contextualSpacing/>
        <w:rPr>
          <w:color w:val="000000" w:themeColor="text1"/>
        </w:rPr>
      </w:pPr>
      <w:r w:rsidRPr="0E5EECA0">
        <w:rPr>
          <w:color w:val="000000" w:themeColor="text1"/>
        </w:rPr>
        <w:t>The</w:t>
      </w:r>
      <w:r w:rsidR="00091EF3">
        <w:rPr>
          <w:color w:val="000000" w:themeColor="text1"/>
        </w:rPr>
        <w:t xml:space="preserve"> program director and program coordinators should work </w:t>
      </w:r>
      <w:r w:rsidR="003020A2">
        <w:rPr>
          <w:color w:val="000000" w:themeColor="text1"/>
        </w:rPr>
        <w:t xml:space="preserve">together </w:t>
      </w:r>
      <w:r w:rsidR="00091EF3">
        <w:rPr>
          <w:color w:val="000000" w:themeColor="text1"/>
        </w:rPr>
        <w:t>to complete the ADS update.  Much of the information can be collected and uploaded by coordinators. Information required for upload includes the program’s block diagram</w:t>
      </w:r>
      <w:r w:rsidR="00DF3E16">
        <w:rPr>
          <w:color w:val="000000" w:themeColor="text1"/>
        </w:rPr>
        <w:t xml:space="preserve"> using the ACGME’s pediatric template</w:t>
      </w:r>
      <w:r w:rsidR="00091EF3">
        <w:rPr>
          <w:color w:val="000000" w:themeColor="text1"/>
        </w:rPr>
        <w:t xml:space="preserve">, faculty and resident scholarly activity, and information related to each clinical site.  </w:t>
      </w:r>
    </w:p>
    <w:p w14:paraId="7E2D5F0D" w14:textId="77777777" w:rsidR="00203AE3" w:rsidRDefault="00203AE3" w:rsidP="00C41AF9">
      <w:pPr>
        <w:contextualSpacing/>
        <w:rPr>
          <w:color w:val="000000" w:themeColor="text1"/>
        </w:rPr>
      </w:pPr>
    </w:p>
    <w:p w14:paraId="0D34C7EC" w14:textId="2B79BB42" w:rsidR="00C41AF9" w:rsidRPr="00091EF3" w:rsidRDefault="00091EF3" w:rsidP="00C41AF9">
      <w:pPr>
        <w:contextualSpacing/>
        <w:rPr>
          <w:color w:val="000000" w:themeColor="text1"/>
        </w:rPr>
      </w:pPr>
      <w:r>
        <w:rPr>
          <w:color w:val="000000" w:themeColor="text1"/>
        </w:rPr>
        <w:t>For program directors</w:t>
      </w:r>
      <w:r w:rsidR="00DF3E16">
        <w:rPr>
          <w:color w:val="000000" w:themeColor="text1"/>
        </w:rPr>
        <w:t>,</w:t>
      </w:r>
      <w:r>
        <w:rPr>
          <w:color w:val="000000" w:themeColor="text1"/>
        </w:rPr>
        <w:t xml:space="preserve"> an area of particular interest is</w:t>
      </w:r>
      <w:r w:rsidR="00C41AF9" w:rsidRPr="0E5EECA0">
        <w:rPr>
          <w:color w:val="000000" w:themeColor="text1"/>
        </w:rPr>
        <w:t xml:space="preserve"> the “Major Changes and Other Updates” section.  This section provides an opportunity for program directors to showcase changes made to address potential issues identified in ACGME survey result</w:t>
      </w:r>
      <w:r w:rsidR="45C3F020" w:rsidRPr="0E5EECA0">
        <w:rPr>
          <w:color w:val="000000" w:themeColor="text1"/>
        </w:rPr>
        <w:t>s</w:t>
      </w:r>
      <w:r w:rsidR="00C41AF9" w:rsidRPr="0E5EECA0">
        <w:rPr>
          <w:color w:val="000000" w:themeColor="text1"/>
        </w:rPr>
        <w:t xml:space="preserve"> and to proactively demonstrate to the review committee the steps being taken to improve the program. Program directors can also highlight changes in leadership and rotations </w:t>
      </w:r>
      <w:r w:rsidR="00134933">
        <w:rPr>
          <w:color w:val="000000" w:themeColor="text1"/>
        </w:rPr>
        <w:t>along with</w:t>
      </w:r>
      <w:r w:rsidR="00134933" w:rsidRPr="0E5EECA0">
        <w:rPr>
          <w:color w:val="000000" w:themeColor="text1"/>
        </w:rPr>
        <w:t xml:space="preserve"> </w:t>
      </w:r>
      <w:r w:rsidR="00C41AF9" w:rsidRPr="0E5EECA0">
        <w:rPr>
          <w:color w:val="000000" w:themeColor="text1"/>
        </w:rPr>
        <w:t>any innovations implemented throughout the academic year.</w:t>
      </w:r>
      <w:r w:rsidR="00DF3E16">
        <w:rPr>
          <w:color w:val="000000" w:themeColor="text1"/>
        </w:rPr>
        <w:t xml:space="preserve"> </w:t>
      </w:r>
      <w:r w:rsidR="00AA1D79">
        <w:rPr>
          <w:rFonts w:cstheme="minorHAnsi"/>
          <w:color w:val="000000" w:themeColor="text1"/>
        </w:rPr>
        <w:t>P</w:t>
      </w:r>
      <w:r w:rsidR="00C41AF9">
        <w:rPr>
          <w:rFonts w:cstheme="minorHAnsi"/>
          <w:color w:val="000000" w:themeColor="text1"/>
        </w:rPr>
        <w:t xml:space="preserve">rogram directors </w:t>
      </w:r>
      <w:r w:rsidR="00AA1D79">
        <w:rPr>
          <w:rFonts w:cstheme="minorHAnsi"/>
          <w:color w:val="000000" w:themeColor="text1"/>
        </w:rPr>
        <w:t xml:space="preserve">are encouraged </w:t>
      </w:r>
      <w:r w:rsidR="00C41AF9">
        <w:rPr>
          <w:rFonts w:cstheme="minorHAnsi"/>
          <w:color w:val="000000" w:themeColor="text1"/>
        </w:rPr>
        <w:t xml:space="preserve">to provide context for major changes that are described and to express the outcomes seen after major changes are </w:t>
      </w:r>
      <w:r w:rsidR="00AA1D79">
        <w:rPr>
          <w:rFonts w:cstheme="minorHAnsi"/>
          <w:color w:val="000000" w:themeColor="text1"/>
        </w:rPr>
        <w:t>implemented</w:t>
      </w:r>
      <w:r w:rsidR="00C41AF9">
        <w:rPr>
          <w:rFonts w:cstheme="minorHAnsi"/>
          <w:color w:val="000000" w:themeColor="text1"/>
        </w:rPr>
        <w:t xml:space="preserve">. </w:t>
      </w:r>
      <w:r>
        <w:rPr>
          <w:rFonts w:cstheme="minorHAnsi"/>
          <w:color w:val="000000" w:themeColor="text1"/>
        </w:rPr>
        <w:t xml:space="preserve">Program </w:t>
      </w:r>
      <w:r w:rsidR="00E22CA1">
        <w:rPr>
          <w:rFonts w:cstheme="minorHAnsi"/>
          <w:color w:val="000000" w:themeColor="text1"/>
        </w:rPr>
        <w:t>d</w:t>
      </w:r>
      <w:r>
        <w:rPr>
          <w:rFonts w:cstheme="minorHAnsi"/>
          <w:color w:val="000000" w:themeColor="text1"/>
        </w:rPr>
        <w:t>irectors should also respond to any existing citations in the ADS each year.</w:t>
      </w:r>
    </w:p>
    <w:p w14:paraId="0859A86E" w14:textId="77777777" w:rsidR="00C41AF9" w:rsidRDefault="00C41AF9" w:rsidP="00C41AF9">
      <w:pPr>
        <w:contextualSpacing/>
        <w:rPr>
          <w:rFonts w:cstheme="minorHAnsi"/>
          <w:color w:val="000000" w:themeColor="text1"/>
        </w:rPr>
      </w:pPr>
    </w:p>
    <w:p w14:paraId="3EE027AE" w14:textId="78119DFA" w:rsidR="00203AE3" w:rsidRDefault="00203AE3" w:rsidP="00203AE3">
      <w:pPr>
        <w:contextualSpacing/>
        <w:rPr>
          <w:rFonts w:cstheme="minorHAnsi"/>
          <w:color w:val="000000" w:themeColor="text1"/>
        </w:rPr>
      </w:pPr>
      <w:r>
        <w:rPr>
          <w:rFonts w:cstheme="minorHAnsi"/>
          <w:color w:val="000000" w:themeColor="text1"/>
        </w:rPr>
        <w:t>Finally, the ACGME ADS website is also where each resident’s milestone evaluation scores need to be reported semiannually after Clinical Competency Committee meetings.</w:t>
      </w:r>
    </w:p>
    <w:p w14:paraId="17CE881F" w14:textId="385F1115" w:rsidR="00203AE3" w:rsidRDefault="00203AE3" w:rsidP="00C41AF9">
      <w:pPr>
        <w:contextualSpacing/>
        <w:rPr>
          <w:rFonts w:cstheme="minorHAnsi"/>
          <w:color w:val="000000" w:themeColor="text1"/>
        </w:rPr>
      </w:pPr>
    </w:p>
    <w:p w14:paraId="1ED60B58" w14:textId="77777777" w:rsidR="004332F6" w:rsidRDefault="004332F6" w:rsidP="00870305">
      <w:pPr>
        <w:contextualSpacing/>
        <w:rPr>
          <w:rFonts w:ascii="Cambria" w:hAnsi="Cambria"/>
          <w:color w:val="0070C0"/>
          <w:sz w:val="28"/>
          <w:szCs w:val="28"/>
        </w:rPr>
      </w:pPr>
    </w:p>
    <w:p w14:paraId="1D497BC0" w14:textId="7C75125F" w:rsidR="00870305" w:rsidRDefault="00870305" w:rsidP="00870305">
      <w:pPr>
        <w:contextualSpacing/>
        <w:rPr>
          <w:rFonts w:ascii="Cambria" w:hAnsi="Cambria"/>
          <w:color w:val="0070C0"/>
          <w:sz w:val="28"/>
          <w:szCs w:val="28"/>
        </w:rPr>
      </w:pPr>
      <w:r>
        <w:rPr>
          <w:rFonts w:ascii="Cambria" w:hAnsi="Cambria"/>
          <w:color w:val="0070C0"/>
          <w:sz w:val="28"/>
          <w:szCs w:val="28"/>
        </w:rPr>
        <w:t>Review Committees</w:t>
      </w:r>
    </w:p>
    <w:p w14:paraId="113322CA" w14:textId="77777777" w:rsidR="00870305" w:rsidRDefault="00870305" w:rsidP="00870305">
      <w:pPr>
        <w:contextualSpacing/>
        <w:rPr>
          <w:rFonts w:ascii="Cambria" w:hAnsi="Cambria"/>
          <w:color w:val="0070C0"/>
          <w:sz w:val="28"/>
          <w:szCs w:val="28"/>
        </w:rPr>
      </w:pPr>
    </w:p>
    <w:p w14:paraId="1E363843" w14:textId="5CBB31CE" w:rsidR="003F3229" w:rsidRDefault="003F3229" w:rsidP="00870305">
      <w:pPr>
        <w:contextualSpacing/>
        <w:rPr>
          <w:rFonts w:cstheme="minorHAnsi"/>
          <w:color w:val="000000" w:themeColor="text1"/>
        </w:rPr>
      </w:pPr>
      <w:r>
        <w:rPr>
          <w:rFonts w:cstheme="minorHAnsi"/>
          <w:color w:val="000000" w:themeColor="text1"/>
        </w:rPr>
        <w:lastRenderedPageBreak/>
        <w:t>There are three types of Review Committees:</w:t>
      </w:r>
    </w:p>
    <w:p w14:paraId="0D2DD099" w14:textId="56E67934" w:rsidR="003F3229" w:rsidRDefault="00A955F0" w:rsidP="003F3229">
      <w:pPr>
        <w:pStyle w:val="ListParagraph"/>
        <w:numPr>
          <w:ilvl w:val="0"/>
          <w:numId w:val="8"/>
        </w:numPr>
        <w:rPr>
          <w:rFonts w:cstheme="minorHAnsi"/>
          <w:color w:val="000000" w:themeColor="text1"/>
        </w:rPr>
      </w:pPr>
      <w:r>
        <w:rPr>
          <w:rFonts w:cstheme="minorHAnsi"/>
          <w:color w:val="000000" w:themeColor="text1"/>
        </w:rPr>
        <w:t xml:space="preserve">Specialty </w:t>
      </w:r>
      <w:r w:rsidR="003F3229">
        <w:rPr>
          <w:rFonts w:cstheme="minorHAnsi"/>
          <w:color w:val="000000" w:themeColor="text1"/>
        </w:rPr>
        <w:t>Review Committee</w:t>
      </w:r>
    </w:p>
    <w:p w14:paraId="10B33367" w14:textId="62C4A39E" w:rsidR="003F3229" w:rsidRDefault="003F3229" w:rsidP="003F3229">
      <w:pPr>
        <w:pStyle w:val="ListParagraph"/>
        <w:numPr>
          <w:ilvl w:val="0"/>
          <w:numId w:val="8"/>
        </w:numPr>
        <w:rPr>
          <w:rFonts w:cstheme="minorHAnsi"/>
          <w:color w:val="000000" w:themeColor="text1"/>
        </w:rPr>
      </w:pPr>
      <w:r>
        <w:rPr>
          <w:rFonts w:cstheme="minorHAnsi"/>
          <w:color w:val="000000" w:themeColor="text1"/>
        </w:rPr>
        <w:t xml:space="preserve">Transitional </w:t>
      </w:r>
      <w:r w:rsidR="00DF3E16">
        <w:rPr>
          <w:rFonts w:cstheme="minorHAnsi"/>
          <w:color w:val="000000" w:themeColor="text1"/>
        </w:rPr>
        <w:t>Y</w:t>
      </w:r>
      <w:r>
        <w:rPr>
          <w:rFonts w:cstheme="minorHAnsi"/>
          <w:color w:val="000000" w:themeColor="text1"/>
        </w:rPr>
        <w:t>ear Review Committee</w:t>
      </w:r>
    </w:p>
    <w:p w14:paraId="411299D6" w14:textId="4504E04E" w:rsidR="003F3229" w:rsidRDefault="003F3229" w:rsidP="003F3229">
      <w:pPr>
        <w:pStyle w:val="ListParagraph"/>
        <w:numPr>
          <w:ilvl w:val="0"/>
          <w:numId w:val="8"/>
        </w:numPr>
        <w:rPr>
          <w:rFonts w:cstheme="minorHAnsi"/>
          <w:color w:val="000000" w:themeColor="text1"/>
        </w:rPr>
      </w:pPr>
      <w:r>
        <w:rPr>
          <w:rFonts w:cstheme="minorHAnsi"/>
          <w:color w:val="000000" w:themeColor="text1"/>
        </w:rPr>
        <w:t>Institutional Review Committee</w:t>
      </w:r>
    </w:p>
    <w:p w14:paraId="0004252A" w14:textId="647F1A12" w:rsidR="003F3229" w:rsidRPr="003F3229" w:rsidRDefault="003F3229" w:rsidP="003F3229">
      <w:pPr>
        <w:rPr>
          <w:rFonts w:cstheme="minorHAnsi"/>
          <w:color w:val="000000" w:themeColor="text1"/>
        </w:rPr>
      </w:pPr>
      <w:r>
        <w:rPr>
          <w:rFonts w:cstheme="minorHAnsi"/>
          <w:color w:val="000000" w:themeColor="text1"/>
        </w:rPr>
        <w:t xml:space="preserve">This section will focus on </w:t>
      </w:r>
      <w:r w:rsidR="00A955F0">
        <w:rPr>
          <w:rFonts w:cstheme="minorHAnsi"/>
          <w:color w:val="000000" w:themeColor="text1"/>
        </w:rPr>
        <w:t xml:space="preserve">the Specialty </w:t>
      </w:r>
      <w:r>
        <w:rPr>
          <w:rFonts w:cstheme="minorHAnsi"/>
          <w:color w:val="000000" w:themeColor="text1"/>
        </w:rPr>
        <w:t xml:space="preserve">Review Committee (RC). </w:t>
      </w:r>
    </w:p>
    <w:p w14:paraId="72BA7337" w14:textId="66C80FE5" w:rsidR="003F3229" w:rsidRDefault="003F3229" w:rsidP="00870305">
      <w:pPr>
        <w:contextualSpacing/>
        <w:rPr>
          <w:rFonts w:cstheme="minorHAnsi"/>
          <w:color w:val="000000" w:themeColor="text1"/>
        </w:rPr>
      </w:pPr>
      <w:r>
        <w:rPr>
          <w:rFonts w:cstheme="minorHAnsi"/>
          <w:color w:val="000000" w:themeColor="text1"/>
        </w:rPr>
        <w:t>RCs</w:t>
      </w:r>
      <w:r w:rsidR="00870305">
        <w:rPr>
          <w:rFonts w:cstheme="minorHAnsi"/>
          <w:color w:val="000000" w:themeColor="text1"/>
        </w:rPr>
        <w:t xml:space="preserve"> are specialty-specific groups of volunteer physicians including a resident/fellow representative as well as a non-physician public member. </w:t>
      </w:r>
      <w:r>
        <w:rPr>
          <w:rFonts w:cstheme="minorHAnsi"/>
          <w:color w:val="000000" w:themeColor="text1"/>
        </w:rPr>
        <w:t xml:space="preserve">Essentially, they are “peer-reviewing” residency programs and providing feedback as it relates to their compliance with the pediatric requirements. </w:t>
      </w:r>
    </w:p>
    <w:p w14:paraId="6472A612" w14:textId="77777777" w:rsidR="003F3229" w:rsidRDefault="003F3229" w:rsidP="00870305">
      <w:pPr>
        <w:contextualSpacing/>
        <w:rPr>
          <w:rFonts w:cstheme="minorHAnsi"/>
          <w:color w:val="000000" w:themeColor="text1"/>
        </w:rPr>
      </w:pPr>
    </w:p>
    <w:p w14:paraId="0E9F2ED3" w14:textId="14519838" w:rsidR="003F3229" w:rsidRDefault="00A955F0" w:rsidP="00870305">
      <w:pPr>
        <w:contextualSpacing/>
        <w:rPr>
          <w:rFonts w:cstheme="minorHAnsi"/>
          <w:color w:val="000000" w:themeColor="text1"/>
        </w:rPr>
      </w:pPr>
      <w:r>
        <w:rPr>
          <w:rFonts w:cstheme="minorHAnsi"/>
          <w:color w:val="000000" w:themeColor="text1"/>
        </w:rPr>
        <w:t>RCs</w:t>
      </w:r>
      <w:r w:rsidR="00870305">
        <w:rPr>
          <w:rFonts w:cstheme="minorHAnsi"/>
          <w:color w:val="000000" w:themeColor="text1"/>
        </w:rPr>
        <w:t xml:space="preserve"> are responsible for the following tasks</w:t>
      </w:r>
      <w:r w:rsidR="00215454" w:rsidRPr="00215454">
        <w:rPr>
          <w:rFonts w:cstheme="minorHAnsi"/>
          <w:color w:val="000000" w:themeColor="text1"/>
          <w:vertAlign w:val="superscript"/>
        </w:rPr>
        <w:t xml:space="preserve"> </w:t>
      </w:r>
      <w:proofErr w:type="gramStart"/>
      <w:r w:rsidR="00215454" w:rsidRPr="00215454">
        <w:rPr>
          <w:rFonts w:cstheme="minorHAnsi"/>
          <w:color w:val="000000" w:themeColor="text1"/>
          <w:vertAlign w:val="superscript"/>
        </w:rPr>
        <w:t xml:space="preserve">1 </w:t>
      </w:r>
      <w:r w:rsidR="00215454">
        <w:rPr>
          <w:rFonts w:cstheme="minorHAnsi"/>
          <w:color w:val="000000" w:themeColor="text1"/>
        </w:rPr>
        <w:t>:</w:t>
      </w:r>
      <w:proofErr w:type="gramEnd"/>
      <w:r w:rsidR="00870305">
        <w:rPr>
          <w:rFonts w:cstheme="minorHAnsi"/>
          <w:color w:val="000000" w:themeColor="text1"/>
        </w:rPr>
        <w:t xml:space="preserve"> </w:t>
      </w:r>
    </w:p>
    <w:p w14:paraId="5EF29B0C" w14:textId="4DA8D1C3" w:rsidR="003F3229" w:rsidRDefault="003F3229" w:rsidP="003F3229">
      <w:pPr>
        <w:pStyle w:val="ListParagraph"/>
        <w:numPr>
          <w:ilvl w:val="0"/>
          <w:numId w:val="6"/>
        </w:numPr>
        <w:rPr>
          <w:rFonts w:cstheme="minorHAnsi"/>
          <w:color w:val="000000" w:themeColor="text1"/>
        </w:rPr>
      </w:pPr>
      <w:r>
        <w:rPr>
          <w:rFonts w:cstheme="minorHAnsi"/>
          <w:color w:val="000000" w:themeColor="text1"/>
        </w:rPr>
        <w:t>Establishing and updating requirements for their specialty and sponsoring institutions</w:t>
      </w:r>
    </w:p>
    <w:p w14:paraId="430E66B8" w14:textId="7E200ABA" w:rsidR="003F3229" w:rsidRDefault="003F3229" w:rsidP="003F3229">
      <w:pPr>
        <w:pStyle w:val="ListParagraph"/>
        <w:numPr>
          <w:ilvl w:val="0"/>
          <w:numId w:val="6"/>
        </w:numPr>
        <w:rPr>
          <w:rFonts w:cstheme="minorHAnsi"/>
          <w:color w:val="000000" w:themeColor="text1"/>
        </w:rPr>
      </w:pPr>
      <w:r>
        <w:rPr>
          <w:rFonts w:cstheme="minorHAnsi"/>
          <w:color w:val="000000" w:themeColor="text1"/>
        </w:rPr>
        <w:t>Regularly reviewing program and institution compliance with the requirements</w:t>
      </w:r>
    </w:p>
    <w:p w14:paraId="41EFA0A5" w14:textId="6FE12775" w:rsidR="003F3229" w:rsidRDefault="003F3229" w:rsidP="003F3229">
      <w:pPr>
        <w:pStyle w:val="ListParagraph"/>
        <w:numPr>
          <w:ilvl w:val="0"/>
          <w:numId w:val="6"/>
        </w:numPr>
        <w:rPr>
          <w:rFonts w:cstheme="minorHAnsi"/>
          <w:color w:val="000000" w:themeColor="text1"/>
        </w:rPr>
      </w:pPr>
      <w:r>
        <w:rPr>
          <w:rFonts w:cstheme="minorHAnsi"/>
          <w:color w:val="000000" w:themeColor="text1"/>
        </w:rPr>
        <w:t>Mak</w:t>
      </w:r>
      <w:r w:rsidR="00203AE3">
        <w:rPr>
          <w:rFonts w:cstheme="minorHAnsi"/>
          <w:color w:val="000000" w:themeColor="text1"/>
        </w:rPr>
        <w:t xml:space="preserve">ing </w:t>
      </w:r>
      <w:r>
        <w:rPr>
          <w:rFonts w:cstheme="minorHAnsi"/>
          <w:color w:val="000000" w:themeColor="text1"/>
        </w:rPr>
        <w:t>accreditation decisions</w:t>
      </w:r>
    </w:p>
    <w:p w14:paraId="2AFA53D0" w14:textId="4D229B58" w:rsidR="003F3229" w:rsidRPr="003F3229" w:rsidRDefault="003F3229" w:rsidP="003F3229">
      <w:pPr>
        <w:pStyle w:val="ListParagraph"/>
        <w:numPr>
          <w:ilvl w:val="0"/>
          <w:numId w:val="6"/>
        </w:numPr>
        <w:rPr>
          <w:rFonts w:cstheme="minorHAnsi"/>
          <w:color w:val="000000" w:themeColor="text1"/>
        </w:rPr>
      </w:pPr>
      <w:r>
        <w:rPr>
          <w:rFonts w:cstheme="minorHAnsi"/>
          <w:color w:val="000000" w:themeColor="text1"/>
        </w:rPr>
        <w:t>Educat</w:t>
      </w:r>
      <w:r w:rsidR="00203AE3">
        <w:rPr>
          <w:rFonts w:cstheme="minorHAnsi"/>
          <w:color w:val="000000" w:themeColor="text1"/>
        </w:rPr>
        <w:t>ing</w:t>
      </w:r>
      <w:r>
        <w:rPr>
          <w:rFonts w:cstheme="minorHAnsi"/>
          <w:color w:val="000000" w:themeColor="text1"/>
        </w:rPr>
        <w:t xml:space="preserve"> program directors and institutional leaders </w:t>
      </w:r>
    </w:p>
    <w:p w14:paraId="7BA62772" w14:textId="77777777" w:rsidR="00870305" w:rsidRDefault="00870305" w:rsidP="00870305">
      <w:pPr>
        <w:contextualSpacing/>
        <w:rPr>
          <w:rFonts w:cstheme="minorHAnsi"/>
          <w:color w:val="000000" w:themeColor="text1"/>
        </w:rPr>
      </w:pPr>
    </w:p>
    <w:p w14:paraId="5F951978" w14:textId="492FE697" w:rsidR="1ACF3E2B" w:rsidRDefault="1ACF3E2B" w:rsidP="0E5EECA0">
      <w:pPr>
        <w:spacing w:after="0"/>
        <w:rPr>
          <w:rFonts w:ascii="Cambria" w:hAnsi="Cambria"/>
          <w:color w:val="0070C0"/>
          <w:sz w:val="28"/>
          <w:szCs w:val="28"/>
        </w:rPr>
      </w:pPr>
      <w:r w:rsidRPr="0E5EECA0">
        <w:rPr>
          <w:rFonts w:ascii="Cambria" w:hAnsi="Cambria"/>
          <w:color w:val="0070C0"/>
          <w:sz w:val="28"/>
          <w:szCs w:val="28"/>
        </w:rPr>
        <w:t>Surveys</w:t>
      </w:r>
    </w:p>
    <w:p w14:paraId="304FD9B6" w14:textId="1118862E" w:rsidR="0E5EECA0" w:rsidRDefault="0E5EECA0" w:rsidP="0E5EECA0">
      <w:pPr>
        <w:spacing w:after="0"/>
        <w:rPr>
          <w:rFonts w:ascii="Cambria" w:hAnsi="Cambria"/>
          <w:color w:val="0070C0"/>
          <w:sz w:val="28"/>
          <w:szCs w:val="28"/>
        </w:rPr>
      </w:pPr>
    </w:p>
    <w:p w14:paraId="44A66EEC" w14:textId="44F87085" w:rsidR="1ACF3E2B" w:rsidRDefault="1ACF3E2B" w:rsidP="0E5EECA0">
      <w:pPr>
        <w:spacing w:after="0"/>
        <w:rPr>
          <w:rFonts w:eastAsiaTheme="minorEastAsia"/>
        </w:rPr>
      </w:pPr>
      <w:r w:rsidRPr="0E5EECA0">
        <w:rPr>
          <w:rFonts w:eastAsiaTheme="minorEastAsia"/>
        </w:rPr>
        <w:t xml:space="preserve">The ACGME </w:t>
      </w:r>
      <w:r w:rsidR="51588B41" w:rsidRPr="0E5EECA0">
        <w:rPr>
          <w:rFonts w:eastAsiaTheme="minorEastAsia"/>
        </w:rPr>
        <w:t>Resident/Fellow and Faculty Surveys are sent annually</w:t>
      </w:r>
      <w:r w:rsidR="00A955F0">
        <w:rPr>
          <w:rFonts w:eastAsiaTheme="minorEastAsia"/>
        </w:rPr>
        <w:t>, generally February through April,</w:t>
      </w:r>
      <w:r w:rsidR="51588B41" w:rsidRPr="0E5EECA0">
        <w:rPr>
          <w:rFonts w:eastAsiaTheme="minorEastAsia"/>
        </w:rPr>
        <w:t xml:space="preserve"> to monitor the edu</w:t>
      </w:r>
      <w:r w:rsidR="6B228080" w:rsidRPr="0E5EECA0">
        <w:rPr>
          <w:rFonts w:eastAsiaTheme="minorEastAsia"/>
        </w:rPr>
        <w:t>cation and training environment within the program and to monitor for potential non-compliance with accreditation requirements</w:t>
      </w:r>
      <w:r w:rsidR="2CA07DB8" w:rsidRPr="0E5EECA0">
        <w:rPr>
          <w:rFonts w:eastAsiaTheme="minorEastAsia"/>
        </w:rPr>
        <w:t xml:space="preserve">. </w:t>
      </w:r>
      <w:r w:rsidR="1EEE8F3E" w:rsidRPr="0E5EECA0">
        <w:rPr>
          <w:rFonts w:eastAsiaTheme="minorEastAsia"/>
        </w:rPr>
        <w:t xml:space="preserve">In general, the resident survey has questions related to education within the program, duty hour compliance, </w:t>
      </w:r>
      <w:r w:rsidR="762569BB" w:rsidRPr="0E5EECA0">
        <w:rPr>
          <w:rFonts w:eastAsiaTheme="minorEastAsia"/>
        </w:rPr>
        <w:t xml:space="preserve">scholarly activity opportunities, faculty engagement, and resident wellness efforts. The faculty survey often has questions related to </w:t>
      </w:r>
      <w:r w:rsidR="016D307C" w:rsidRPr="0E5EECA0">
        <w:rPr>
          <w:rFonts w:eastAsiaTheme="minorEastAsia"/>
        </w:rPr>
        <w:t>perceived time for teaching, duty hour compliance among residents, faculty well-being and the education within the program</w:t>
      </w:r>
      <w:r w:rsidR="10F8E0D6" w:rsidRPr="0E5EECA0">
        <w:rPr>
          <w:rFonts w:eastAsiaTheme="minorEastAsia"/>
        </w:rPr>
        <w:t xml:space="preserve">. </w:t>
      </w:r>
      <w:r w:rsidR="6B228080" w:rsidRPr="0E5EECA0">
        <w:rPr>
          <w:rFonts w:eastAsiaTheme="minorEastAsia"/>
        </w:rPr>
        <w:t>The survey</w:t>
      </w:r>
      <w:r w:rsidR="00421E92">
        <w:rPr>
          <w:rFonts w:eastAsiaTheme="minorEastAsia"/>
        </w:rPr>
        <w:t>s</w:t>
      </w:r>
      <w:r w:rsidR="6B228080" w:rsidRPr="0E5EECA0">
        <w:rPr>
          <w:rFonts w:eastAsiaTheme="minorEastAsia"/>
        </w:rPr>
        <w:t xml:space="preserve"> </w:t>
      </w:r>
      <w:r w:rsidR="00421E92">
        <w:rPr>
          <w:rFonts w:eastAsiaTheme="minorEastAsia"/>
        </w:rPr>
        <w:t>are</w:t>
      </w:r>
      <w:r w:rsidR="00421E92" w:rsidRPr="0E5EECA0">
        <w:rPr>
          <w:rFonts w:eastAsiaTheme="minorEastAsia"/>
        </w:rPr>
        <w:t xml:space="preserve"> </w:t>
      </w:r>
      <w:r w:rsidR="6B228080" w:rsidRPr="0E5EECA0">
        <w:rPr>
          <w:rFonts w:eastAsiaTheme="minorEastAsia"/>
        </w:rPr>
        <w:t>sent directly</w:t>
      </w:r>
      <w:r w:rsidR="00421E92">
        <w:rPr>
          <w:rFonts w:eastAsiaTheme="minorEastAsia"/>
        </w:rPr>
        <w:t xml:space="preserve"> from ACGME</w:t>
      </w:r>
      <w:r w:rsidR="6B228080" w:rsidRPr="0E5EECA0">
        <w:rPr>
          <w:rFonts w:eastAsiaTheme="minorEastAsia"/>
        </w:rPr>
        <w:t xml:space="preserve"> to each </w:t>
      </w:r>
      <w:r w:rsidR="00421E92">
        <w:rPr>
          <w:rFonts w:eastAsiaTheme="minorEastAsia"/>
        </w:rPr>
        <w:t>trainee</w:t>
      </w:r>
      <w:r w:rsidR="00421E92" w:rsidRPr="0E5EECA0">
        <w:rPr>
          <w:rFonts w:eastAsiaTheme="minorEastAsia"/>
        </w:rPr>
        <w:t xml:space="preserve"> </w:t>
      </w:r>
      <w:r w:rsidR="6B228080" w:rsidRPr="0E5EECA0">
        <w:rPr>
          <w:rFonts w:eastAsiaTheme="minorEastAsia"/>
        </w:rPr>
        <w:t xml:space="preserve">in the program and all faculty listed as </w:t>
      </w:r>
      <w:r w:rsidR="007B265A">
        <w:rPr>
          <w:rFonts w:eastAsiaTheme="minorEastAsia"/>
        </w:rPr>
        <w:t>c</w:t>
      </w:r>
      <w:r w:rsidR="6B228080" w:rsidRPr="0E5EECA0">
        <w:rPr>
          <w:rFonts w:eastAsiaTheme="minorEastAsia"/>
        </w:rPr>
        <w:t xml:space="preserve">ore </w:t>
      </w:r>
      <w:r w:rsidR="007B265A">
        <w:rPr>
          <w:rFonts w:eastAsiaTheme="minorEastAsia"/>
        </w:rPr>
        <w:t>f</w:t>
      </w:r>
      <w:r w:rsidR="6B228080" w:rsidRPr="0E5EECA0">
        <w:rPr>
          <w:rFonts w:eastAsiaTheme="minorEastAsia"/>
        </w:rPr>
        <w:t xml:space="preserve">aculty on </w:t>
      </w:r>
      <w:r w:rsidR="718916E4" w:rsidRPr="0E5EECA0">
        <w:rPr>
          <w:rFonts w:eastAsiaTheme="minorEastAsia"/>
        </w:rPr>
        <w:t>the program’s ADS roster</w:t>
      </w:r>
      <w:r w:rsidR="00421E92">
        <w:rPr>
          <w:rFonts w:eastAsiaTheme="minorEastAsia"/>
        </w:rPr>
        <w:t>, though coordinators and/or program directors must “push” the survey out</w:t>
      </w:r>
      <w:r w:rsidR="718916E4" w:rsidRPr="0E5EECA0">
        <w:rPr>
          <w:rFonts w:eastAsiaTheme="minorEastAsia"/>
        </w:rPr>
        <w:t xml:space="preserve">. The surveys are </w:t>
      </w:r>
      <w:proofErr w:type="gramStart"/>
      <w:r w:rsidR="718916E4" w:rsidRPr="0E5EECA0">
        <w:rPr>
          <w:rFonts w:eastAsiaTheme="minorEastAsia"/>
        </w:rPr>
        <w:t>confidential</w:t>
      </w:r>
      <w:proofErr w:type="gramEnd"/>
      <w:r w:rsidR="718916E4" w:rsidRPr="0E5EECA0">
        <w:rPr>
          <w:rFonts w:eastAsiaTheme="minorEastAsia"/>
        </w:rPr>
        <w:t xml:space="preserve"> and </w:t>
      </w:r>
      <w:r w:rsidR="00A955F0">
        <w:rPr>
          <w:rFonts w:eastAsiaTheme="minorEastAsia"/>
        </w:rPr>
        <w:t>t</w:t>
      </w:r>
      <w:r w:rsidR="00421E92">
        <w:rPr>
          <w:rFonts w:eastAsiaTheme="minorEastAsia"/>
        </w:rPr>
        <w:t>he Program Director does not receive the survey.</w:t>
      </w:r>
      <w:r w:rsidR="00A955F0">
        <w:rPr>
          <w:rFonts w:eastAsiaTheme="minorEastAsia"/>
        </w:rPr>
        <w:t xml:space="preserve"> More information and content areas are available </w:t>
      </w:r>
      <w:hyperlink r:id="rId7" w:history="1">
        <w:r w:rsidR="00A955F0" w:rsidRPr="00A955F0">
          <w:rPr>
            <w:rStyle w:val="Hyperlink"/>
            <w:rFonts w:eastAsiaTheme="minorEastAsia"/>
          </w:rPr>
          <w:t>here</w:t>
        </w:r>
      </w:hyperlink>
      <w:r w:rsidR="00A955F0">
        <w:rPr>
          <w:rFonts w:eastAsiaTheme="minorEastAsia"/>
        </w:rPr>
        <w:t>.</w:t>
      </w:r>
    </w:p>
    <w:p w14:paraId="51ACDC4B" w14:textId="5F568EA2" w:rsidR="0E5EECA0" w:rsidRDefault="0E5EECA0" w:rsidP="0E5EECA0">
      <w:pPr>
        <w:spacing w:after="0"/>
        <w:rPr>
          <w:rFonts w:eastAsiaTheme="minorEastAsia"/>
        </w:rPr>
      </w:pPr>
    </w:p>
    <w:p w14:paraId="614BEFD4" w14:textId="1003679F" w:rsidR="1562D2F1" w:rsidRDefault="1562D2F1" w:rsidP="0E5EECA0">
      <w:pPr>
        <w:spacing w:after="0"/>
        <w:rPr>
          <w:rFonts w:eastAsiaTheme="minorEastAsia"/>
        </w:rPr>
      </w:pPr>
      <w:r w:rsidRPr="0E5EECA0">
        <w:rPr>
          <w:rFonts w:eastAsiaTheme="minorEastAsia"/>
        </w:rPr>
        <w:t>A 70% completion rate for each survey is required</w:t>
      </w:r>
      <w:r w:rsidR="37035B24" w:rsidRPr="0E5EECA0">
        <w:rPr>
          <w:rFonts w:eastAsiaTheme="minorEastAsia"/>
        </w:rPr>
        <w:t xml:space="preserve">.  </w:t>
      </w:r>
      <w:r w:rsidR="318FE72E" w:rsidRPr="0E5EECA0">
        <w:rPr>
          <w:rFonts w:eastAsiaTheme="minorEastAsia"/>
        </w:rPr>
        <w:t xml:space="preserve">Program staff can track completion by </w:t>
      </w:r>
      <w:r w:rsidR="00A955F0">
        <w:rPr>
          <w:rFonts w:eastAsiaTheme="minorEastAsia"/>
        </w:rPr>
        <w:t>individual</w:t>
      </w:r>
      <w:r w:rsidR="00A955F0" w:rsidRPr="0E5EECA0">
        <w:rPr>
          <w:rFonts w:eastAsiaTheme="minorEastAsia"/>
        </w:rPr>
        <w:t xml:space="preserve"> </w:t>
      </w:r>
      <w:commentRangeStart w:id="0"/>
      <w:commentRangeEnd w:id="0"/>
      <w:r w:rsidR="00536E60">
        <w:rPr>
          <w:rStyle w:val="CommentReference"/>
        </w:rPr>
        <w:commentReference w:id="0"/>
      </w:r>
      <w:r w:rsidR="318FE72E" w:rsidRPr="0E5EECA0">
        <w:rPr>
          <w:rFonts w:eastAsiaTheme="minorEastAsia"/>
        </w:rPr>
        <w:t>(but not responses) through the ADS website</w:t>
      </w:r>
      <w:r w:rsidR="004D08F5">
        <w:rPr>
          <w:rFonts w:eastAsiaTheme="minorEastAsia"/>
        </w:rPr>
        <w:t>,</w:t>
      </w:r>
      <w:r w:rsidR="318FE72E" w:rsidRPr="0E5EECA0">
        <w:rPr>
          <w:rFonts w:eastAsiaTheme="minorEastAsia"/>
        </w:rPr>
        <w:t xml:space="preserve"> and </w:t>
      </w:r>
      <w:r w:rsidR="004D08F5">
        <w:rPr>
          <w:rFonts w:eastAsiaTheme="minorEastAsia"/>
        </w:rPr>
        <w:t xml:space="preserve">they </w:t>
      </w:r>
      <w:r w:rsidR="318FE72E" w:rsidRPr="0E5EECA0">
        <w:rPr>
          <w:rFonts w:eastAsiaTheme="minorEastAsia"/>
        </w:rPr>
        <w:t>should monitor throughout the survey period, encouraging completion</w:t>
      </w:r>
      <w:r w:rsidR="49119907" w:rsidRPr="0E5EECA0">
        <w:rPr>
          <w:rFonts w:eastAsiaTheme="minorEastAsia"/>
        </w:rPr>
        <w:t xml:space="preserve">. </w:t>
      </w:r>
      <w:r w:rsidR="00A955F0">
        <w:rPr>
          <w:rFonts w:eastAsiaTheme="minorEastAsia"/>
        </w:rPr>
        <w:t>Programs that meet the response rate and have</w:t>
      </w:r>
      <w:r w:rsidR="37035B24" w:rsidRPr="0E5EECA0">
        <w:rPr>
          <w:rFonts w:eastAsiaTheme="minorEastAsia"/>
        </w:rPr>
        <w:t xml:space="preserve"> </w:t>
      </w:r>
      <w:r w:rsidR="191333B8" w:rsidRPr="0E5EECA0">
        <w:rPr>
          <w:rFonts w:eastAsiaTheme="minorEastAsia"/>
        </w:rPr>
        <w:t>≥</w:t>
      </w:r>
      <w:r w:rsidR="37035B24" w:rsidRPr="0E5EECA0">
        <w:rPr>
          <w:rFonts w:eastAsiaTheme="minorEastAsia"/>
        </w:rPr>
        <w:t>4 residents</w:t>
      </w:r>
      <w:r w:rsidR="00A955F0">
        <w:rPr>
          <w:rFonts w:eastAsiaTheme="minorEastAsia"/>
        </w:rPr>
        <w:t xml:space="preserve"> </w:t>
      </w:r>
      <w:r w:rsidR="37035B24" w:rsidRPr="0E5EECA0">
        <w:rPr>
          <w:rFonts w:eastAsiaTheme="minorEastAsia"/>
        </w:rPr>
        <w:t>will receive</w:t>
      </w:r>
      <w:r w:rsidR="188F0196" w:rsidRPr="0E5EECA0">
        <w:rPr>
          <w:rFonts w:eastAsiaTheme="minorEastAsia"/>
        </w:rPr>
        <w:t xml:space="preserve"> aggregated, anonymized survey data </w:t>
      </w:r>
      <w:r w:rsidR="00A955F0">
        <w:rPr>
          <w:rFonts w:eastAsiaTheme="minorEastAsia"/>
        </w:rPr>
        <w:t>several weeks later</w:t>
      </w:r>
      <w:commentRangeStart w:id="1"/>
      <w:commentRangeEnd w:id="1"/>
      <w:r w:rsidR="009D2F4D">
        <w:rPr>
          <w:rStyle w:val="CommentReference"/>
        </w:rPr>
        <w:commentReference w:id="1"/>
      </w:r>
      <w:r w:rsidR="188F0196" w:rsidRPr="0E5EECA0">
        <w:rPr>
          <w:rFonts w:eastAsiaTheme="minorEastAsia"/>
        </w:rPr>
        <w:t>. Programs with</w:t>
      </w:r>
      <w:r w:rsidR="54B74701" w:rsidRPr="0E5EECA0">
        <w:rPr>
          <w:rFonts w:eastAsiaTheme="minorEastAsia"/>
        </w:rPr>
        <w:t xml:space="preserve"> fewer than 4 residents may receive aggregated data in the future, using multiple years of data such that responses </w:t>
      </w:r>
      <w:r w:rsidR="2391EAD1" w:rsidRPr="0E5EECA0">
        <w:rPr>
          <w:rFonts w:eastAsiaTheme="minorEastAsia"/>
        </w:rPr>
        <w:t>cannot</w:t>
      </w:r>
      <w:r w:rsidR="54B74701" w:rsidRPr="0E5EECA0">
        <w:rPr>
          <w:rFonts w:eastAsiaTheme="minorEastAsia"/>
        </w:rPr>
        <w:t xml:space="preserve"> be linked with current trainees to protect anonymity.</w:t>
      </w:r>
      <w:r w:rsidR="2FC57CEB" w:rsidRPr="0E5EECA0">
        <w:rPr>
          <w:rFonts w:eastAsiaTheme="minorEastAsia"/>
        </w:rPr>
        <w:t xml:space="preserve"> </w:t>
      </w:r>
      <w:r w:rsidR="54B74701" w:rsidRPr="0E5EECA0">
        <w:rPr>
          <w:rFonts w:eastAsiaTheme="minorEastAsia"/>
        </w:rPr>
        <w:t>P</w:t>
      </w:r>
      <w:r w:rsidR="07DACF9C" w:rsidRPr="0E5EECA0">
        <w:rPr>
          <w:rFonts w:eastAsiaTheme="minorEastAsia"/>
        </w:rPr>
        <w:t xml:space="preserve">rograms not meeting the 70% response threshold are flagged as out of compliance and reviewed by the RC. </w:t>
      </w:r>
      <w:r w:rsidR="06D99BB6" w:rsidRPr="0E5EECA0">
        <w:rPr>
          <w:rFonts w:eastAsiaTheme="minorEastAsia"/>
        </w:rPr>
        <w:t xml:space="preserve">Survey results are reviewed by the RRC and negative trends and concerning responses </w:t>
      </w:r>
      <w:r w:rsidR="0D40321A" w:rsidRPr="0E5EECA0">
        <w:rPr>
          <w:rFonts w:eastAsiaTheme="minorEastAsia"/>
        </w:rPr>
        <w:t>may be an impetus for an ACGME site visit</w:t>
      </w:r>
      <w:r w:rsidR="7F45D370" w:rsidRPr="0E5EECA0">
        <w:rPr>
          <w:rFonts w:eastAsiaTheme="minorEastAsia"/>
        </w:rPr>
        <w:t xml:space="preserve">. </w:t>
      </w:r>
    </w:p>
    <w:p w14:paraId="61C6B23A" w14:textId="28E1A860" w:rsidR="0E5EECA0" w:rsidRDefault="0E5EECA0" w:rsidP="0E5EECA0">
      <w:pPr>
        <w:spacing w:after="0"/>
        <w:rPr>
          <w:rFonts w:eastAsiaTheme="minorEastAsia"/>
        </w:rPr>
      </w:pPr>
    </w:p>
    <w:p w14:paraId="07516B5F" w14:textId="196828B6" w:rsidR="0D40321A" w:rsidRDefault="0D40321A" w:rsidP="0E5EECA0">
      <w:pPr>
        <w:spacing w:after="0"/>
        <w:rPr>
          <w:rFonts w:eastAsiaTheme="minorEastAsia"/>
        </w:rPr>
      </w:pPr>
      <w:r w:rsidRPr="0E5EECA0">
        <w:rPr>
          <w:rFonts w:eastAsiaTheme="minorEastAsia"/>
        </w:rPr>
        <w:lastRenderedPageBreak/>
        <w:t>It is important that residents and faculty understand the purpose of the ACGME survey and take it seriously</w:t>
      </w:r>
      <w:r w:rsidR="06001C44" w:rsidRPr="0E5EECA0">
        <w:rPr>
          <w:rFonts w:eastAsiaTheme="minorEastAsia"/>
        </w:rPr>
        <w:t xml:space="preserve">. </w:t>
      </w:r>
      <w:r w:rsidRPr="0E5EECA0">
        <w:rPr>
          <w:rFonts w:eastAsiaTheme="minorEastAsia"/>
        </w:rPr>
        <w:t xml:space="preserve">It is a good idea for programs to review ACGME requirements, </w:t>
      </w:r>
      <w:r w:rsidR="5EF53BAF" w:rsidRPr="0E5EECA0">
        <w:rPr>
          <w:rFonts w:eastAsiaTheme="minorEastAsia"/>
        </w:rPr>
        <w:t>rules,</w:t>
      </w:r>
      <w:r w:rsidRPr="0E5EECA0">
        <w:rPr>
          <w:rFonts w:eastAsiaTheme="minorEastAsia"/>
        </w:rPr>
        <w:t xml:space="preserve"> and definitions with residents on an ongoing basis so they are best equipped to provide accurate responses</w:t>
      </w:r>
      <w:r w:rsidR="7C90A8CC" w:rsidRPr="0E5EECA0">
        <w:rPr>
          <w:rFonts w:eastAsiaTheme="minorEastAsia"/>
        </w:rPr>
        <w:t xml:space="preserve">. </w:t>
      </w:r>
    </w:p>
    <w:p w14:paraId="4D11239E" w14:textId="1F60A927" w:rsidR="0E5EECA0" w:rsidRDefault="0E5EECA0" w:rsidP="0E5EECA0">
      <w:pPr>
        <w:spacing w:after="0"/>
        <w:rPr>
          <w:rFonts w:eastAsiaTheme="minorEastAsia"/>
        </w:rPr>
      </w:pPr>
    </w:p>
    <w:p w14:paraId="1EC22359" w14:textId="21978C17" w:rsidR="003F3229" w:rsidRDefault="003F3229" w:rsidP="00870305">
      <w:pPr>
        <w:spacing w:after="0"/>
        <w:rPr>
          <w:rFonts w:ascii="Cambria" w:hAnsi="Cambria"/>
          <w:color w:val="0070C0"/>
          <w:sz w:val="28"/>
          <w:szCs w:val="28"/>
        </w:rPr>
      </w:pPr>
      <w:r>
        <w:rPr>
          <w:rFonts w:ascii="Cambria" w:hAnsi="Cambria"/>
          <w:color w:val="0070C0"/>
          <w:sz w:val="28"/>
          <w:szCs w:val="28"/>
        </w:rPr>
        <w:t>Self-Study</w:t>
      </w:r>
      <w:r w:rsidR="004A020C">
        <w:rPr>
          <w:rFonts w:ascii="Cambria" w:hAnsi="Cambria"/>
          <w:color w:val="0070C0"/>
          <w:sz w:val="28"/>
          <w:szCs w:val="28"/>
        </w:rPr>
        <w:t xml:space="preserve"> and </w:t>
      </w:r>
      <w:r>
        <w:rPr>
          <w:rFonts w:ascii="Cambria" w:hAnsi="Cambria"/>
          <w:color w:val="0070C0"/>
          <w:sz w:val="28"/>
          <w:szCs w:val="28"/>
        </w:rPr>
        <w:t>Accreditation Site Visits</w:t>
      </w:r>
    </w:p>
    <w:p w14:paraId="06726DC5" w14:textId="77777777" w:rsidR="003F3229" w:rsidRDefault="003F3229" w:rsidP="00870305">
      <w:pPr>
        <w:spacing w:after="0"/>
        <w:rPr>
          <w:rFonts w:ascii="Cambria" w:hAnsi="Cambria"/>
          <w:color w:val="0070C0"/>
          <w:sz w:val="28"/>
          <w:szCs w:val="28"/>
        </w:rPr>
      </w:pPr>
    </w:p>
    <w:p w14:paraId="33742EBA" w14:textId="42B329A1" w:rsidR="00870305" w:rsidRDefault="004A020C" w:rsidP="00870305">
      <w:pPr>
        <w:spacing w:after="0"/>
        <w:rPr>
          <w:rFonts w:cstheme="minorHAnsi"/>
          <w:color w:val="000000" w:themeColor="text1"/>
        </w:rPr>
      </w:pPr>
      <w:r>
        <w:rPr>
          <w:rFonts w:cstheme="minorHAnsi"/>
          <w:color w:val="000000" w:themeColor="text1"/>
        </w:rPr>
        <w:t xml:space="preserve">Traditionally, a “self-study” is a longitudinal program review completed every ten years. Using annual program evaluations as a basis, the self-study is a comprehensive evaluation of the program, especially strengths and self-identified areas for improvement (as opposed to areas for improvement identified by the RC during annual accreditation reviews). </w:t>
      </w:r>
      <w:r w:rsidR="00A07D25">
        <w:rPr>
          <w:rFonts w:cstheme="minorHAnsi"/>
          <w:color w:val="000000" w:themeColor="text1"/>
        </w:rPr>
        <w:t xml:space="preserve">It was two-pronged in that programs were expected to determine their aims and assess the institutional, local, and regional environments to determine opportunities and threats. The Self-Study was to be submitted and completed prior to the 10-Year Accreditation Site Visit.  </w:t>
      </w:r>
      <w:r>
        <w:rPr>
          <w:rFonts w:cstheme="minorHAnsi"/>
          <w:color w:val="000000" w:themeColor="text1"/>
        </w:rPr>
        <w:t xml:space="preserve">  </w:t>
      </w:r>
    </w:p>
    <w:p w14:paraId="4A1C696B" w14:textId="77777777" w:rsidR="004A020C" w:rsidRDefault="004A020C" w:rsidP="00870305">
      <w:pPr>
        <w:spacing w:after="0"/>
        <w:rPr>
          <w:rFonts w:cstheme="minorHAnsi"/>
          <w:color w:val="000000" w:themeColor="text1"/>
        </w:rPr>
      </w:pPr>
    </w:p>
    <w:p w14:paraId="64019873" w14:textId="6E50EB77" w:rsidR="004A020C" w:rsidRDefault="004A020C" w:rsidP="00870305">
      <w:pPr>
        <w:spacing w:after="0"/>
        <w:rPr>
          <w:rFonts w:cstheme="minorHAnsi"/>
          <w:color w:val="000000" w:themeColor="text1"/>
        </w:rPr>
      </w:pPr>
      <w:r>
        <w:rPr>
          <w:rFonts w:cstheme="minorHAnsi"/>
          <w:color w:val="000000" w:themeColor="text1"/>
        </w:rPr>
        <w:t xml:space="preserve">At this time, program self-study requirements have been suspended as the ACGME is revising this process, but programs are encouraged to continue these types of activities during their Annual Program Evaluation process. Effective October 2023, the ACGME has officially discontinued 10-Year Accreditation Site Visits for programs. Updated information regarding the Self-Study process will be coming in spring 2024.  </w:t>
      </w:r>
    </w:p>
    <w:p w14:paraId="04B19508" w14:textId="77777777" w:rsidR="004A020C" w:rsidRDefault="004A020C" w:rsidP="00870305">
      <w:pPr>
        <w:spacing w:after="0"/>
        <w:rPr>
          <w:rFonts w:cstheme="minorHAnsi"/>
          <w:color w:val="000000" w:themeColor="text1"/>
        </w:rPr>
      </w:pPr>
    </w:p>
    <w:p w14:paraId="759B422F" w14:textId="66D874FF" w:rsidR="004A020C" w:rsidRDefault="004A020C" w:rsidP="00870305">
      <w:pPr>
        <w:spacing w:after="0"/>
        <w:rPr>
          <w:rFonts w:cstheme="minorHAnsi"/>
          <w:color w:val="000000" w:themeColor="text1"/>
        </w:rPr>
      </w:pPr>
      <w:r>
        <w:rPr>
          <w:rFonts w:cstheme="minorHAnsi"/>
          <w:color w:val="000000" w:themeColor="text1"/>
        </w:rPr>
        <w:t xml:space="preserve">Resources regarding the steps of the Self-Study process can be found at </w:t>
      </w:r>
      <w:hyperlink r:id="rId12" w:history="1">
        <w:r w:rsidR="00215454" w:rsidRPr="00086594">
          <w:rPr>
            <w:rStyle w:val="Hyperlink"/>
            <w:rFonts w:cstheme="minorHAnsi"/>
          </w:rPr>
          <w:t>https://www.acgme.org/programs-and-institutions/programs/self-study/</w:t>
        </w:r>
      </w:hyperlink>
      <w:r w:rsidR="00215454">
        <w:rPr>
          <w:rFonts w:cstheme="minorHAnsi"/>
          <w:color w:val="000000" w:themeColor="text1"/>
        </w:rPr>
        <w:t xml:space="preserve"> </w:t>
      </w:r>
      <w:r>
        <w:rPr>
          <w:rFonts w:cstheme="minorHAnsi"/>
          <w:color w:val="000000" w:themeColor="text1"/>
        </w:rPr>
        <w:t xml:space="preserve">  </w:t>
      </w:r>
    </w:p>
    <w:p w14:paraId="680F4A9F" w14:textId="77777777" w:rsidR="004A020C" w:rsidRDefault="004A020C" w:rsidP="00870305">
      <w:pPr>
        <w:spacing w:after="0"/>
        <w:rPr>
          <w:rFonts w:cstheme="minorHAnsi"/>
          <w:color w:val="000000" w:themeColor="text1"/>
        </w:rPr>
      </w:pPr>
    </w:p>
    <w:p w14:paraId="0B316B97" w14:textId="77777777" w:rsidR="00870305" w:rsidRDefault="00870305" w:rsidP="00870305">
      <w:pPr>
        <w:spacing w:after="0"/>
        <w:rPr>
          <w:rFonts w:cstheme="minorHAnsi"/>
          <w:color w:val="000000" w:themeColor="text1"/>
        </w:rPr>
      </w:pPr>
    </w:p>
    <w:p w14:paraId="74051558" w14:textId="072A5738" w:rsidR="00870305" w:rsidRDefault="0E2C242A" w:rsidP="0E5EECA0">
      <w:pPr>
        <w:spacing w:after="0"/>
        <w:rPr>
          <w:rFonts w:ascii="Cambria" w:hAnsi="Cambria"/>
          <w:color w:val="0070C0"/>
          <w:sz w:val="28"/>
          <w:szCs w:val="28"/>
        </w:rPr>
      </w:pPr>
      <w:r w:rsidRPr="0E5EECA0">
        <w:rPr>
          <w:rFonts w:ascii="Cambria" w:hAnsi="Cambria"/>
          <w:color w:val="0070C0"/>
          <w:sz w:val="28"/>
          <w:szCs w:val="28"/>
        </w:rPr>
        <w:t>Preparing for a Site Visit</w:t>
      </w:r>
    </w:p>
    <w:p w14:paraId="3C9E1286" w14:textId="6EB28CAB" w:rsidR="00870305" w:rsidRDefault="00870305" w:rsidP="0E5EECA0">
      <w:pPr>
        <w:spacing w:after="0"/>
        <w:rPr>
          <w:rFonts w:ascii="Cambria" w:hAnsi="Cambria"/>
          <w:color w:val="0070C0"/>
          <w:sz w:val="28"/>
          <w:szCs w:val="28"/>
        </w:rPr>
      </w:pPr>
    </w:p>
    <w:p w14:paraId="3776B2FA" w14:textId="7968D8D6" w:rsidR="00203AE3" w:rsidRDefault="00203AE3" w:rsidP="0E5EECA0">
      <w:pPr>
        <w:spacing w:after="0"/>
        <w:rPr>
          <w:rFonts w:eastAsiaTheme="minorEastAsia"/>
        </w:rPr>
      </w:pPr>
      <w:r>
        <w:rPr>
          <w:rFonts w:eastAsiaTheme="minorEastAsia"/>
        </w:rPr>
        <w:t xml:space="preserve">Historically, there have been two types of site visits: Full and Focused. Full site visits </w:t>
      </w:r>
      <w:r w:rsidR="00A955F0">
        <w:rPr>
          <w:rFonts w:eastAsiaTheme="minorEastAsia"/>
        </w:rPr>
        <w:t>have</w:t>
      </w:r>
      <w:r>
        <w:rPr>
          <w:rFonts w:eastAsiaTheme="minorEastAsia"/>
        </w:rPr>
        <w:t xml:space="preserve"> been discontinued</w:t>
      </w:r>
      <w:r w:rsidR="00A955F0">
        <w:rPr>
          <w:rFonts w:eastAsiaTheme="minorEastAsia"/>
        </w:rPr>
        <w:t xml:space="preserve"> as noted above</w:t>
      </w:r>
      <w:r>
        <w:rPr>
          <w:rFonts w:eastAsiaTheme="minorEastAsia"/>
        </w:rPr>
        <w:t xml:space="preserve">. Focused site visits, however, remain in effect. Focused site visits occur when the RC identifies an issue either through mechanisms such as survey results, </w:t>
      </w:r>
      <w:r w:rsidR="00A955F0">
        <w:rPr>
          <w:rFonts w:eastAsiaTheme="minorEastAsia"/>
        </w:rPr>
        <w:t>down- trending</w:t>
      </w:r>
      <w:r>
        <w:rPr>
          <w:rFonts w:eastAsiaTheme="minorEastAsia"/>
        </w:rPr>
        <w:t xml:space="preserve"> board pass rates, complaints made directly to the ACGME, etc. </w:t>
      </w:r>
      <w:r w:rsidR="00A955F0">
        <w:rPr>
          <w:rFonts w:eastAsiaTheme="minorEastAsia"/>
        </w:rPr>
        <w:t>In addition, 1-2% of programs with continued accreditation will be randomly chosen annually for a site visit.</w:t>
      </w:r>
    </w:p>
    <w:p w14:paraId="6E1FEBA0" w14:textId="77777777" w:rsidR="00203AE3" w:rsidRDefault="00203AE3" w:rsidP="0E5EECA0">
      <w:pPr>
        <w:spacing w:after="0"/>
        <w:rPr>
          <w:rFonts w:eastAsiaTheme="minorEastAsia"/>
        </w:rPr>
      </w:pPr>
    </w:p>
    <w:p w14:paraId="6B9C246D" w14:textId="0CE8B153" w:rsidR="00870305" w:rsidRDefault="0E2C242A" w:rsidP="0E5EECA0">
      <w:pPr>
        <w:spacing w:after="0"/>
        <w:rPr>
          <w:rFonts w:eastAsiaTheme="minorEastAsia"/>
        </w:rPr>
      </w:pPr>
      <w:r w:rsidRPr="0E5EECA0">
        <w:rPr>
          <w:rFonts w:eastAsiaTheme="minorEastAsia"/>
        </w:rPr>
        <w:t xml:space="preserve">The ACGME will inform programs that a site visit is </w:t>
      </w:r>
      <w:r w:rsidR="00944AFB">
        <w:rPr>
          <w:rFonts w:eastAsiaTheme="minorEastAsia"/>
        </w:rPr>
        <w:t>happening</w:t>
      </w:r>
      <w:r w:rsidR="00944AFB" w:rsidRPr="0E5EECA0">
        <w:rPr>
          <w:rFonts w:eastAsiaTheme="minorEastAsia"/>
        </w:rPr>
        <w:t xml:space="preserve"> </w:t>
      </w:r>
      <w:r w:rsidRPr="0E5EECA0">
        <w:rPr>
          <w:rFonts w:eastAsiaTheme="minorEastAsia"/>
        </w:rPr>
        <w:t xml:space="preserve">by email directly to the program coordinators, program director, and </w:t>
      </w:r>
      <w:r w:rsidR="004F2C54">
        <w:rPr>
          <w:rFonts w:eastAsiaTheme="minorEastAsia"/>
        </w:rPr>
        <w:t>Designated Institutional Official (</w:t>
      </w:r>
      <w:r w:rsidRPr="0E5EECA0">
        <w:rPr>
          <w:rFonts w:eastAsiaTheme="minorEastAsia"/>
        </w:rPr>
        <w:t>DIO</w:t>
      </w:r>
      <w:r w:rsidR="004F2C54">
        <w:rPr>
          <w:rFonts w:eastAsiaTheme="minorEastAsia"/>
        </w:rPr>
        <w:t>)</w:t>
      </w:r>
      <w:r w:rsidRPr="0E5EECA0">
        <w:rPr>
          <w:rFonts w:eastAsiaTheme="minorEastAsia"/>
        </w:rPr>
        <w:t xml:space="preserve">. A </w:t>
      </w:r>
      <w:r w:rsidR="3314E324" w:rsidRPr="0E5EECA0">
        <w:rPr>
          <w:rFonts w:eastAsiaTheme="minorEastAsia"/>
        </w:rPr>
        <w:t>timelin</w:t>
      </w:r>
      <w:r w:rsidRPr="0E5EECA0">
        <w:rPr>
          <w:rFonts w:eastAsiaTheme="minorEastAsia"/>
        </w:rPr>
        <w:t xml:space="preserve">e for the visit will be given as well as </w:t>
      </w:r>
      <w:r w:rsidR="297B7F71" w:rsidRPr="0E5EECA0">
        <w:rPr>
          <w:rFonts w:eastAsiaTheme="minorEastAsia"/>
        </w:rPr>
        <w:t xml:space="preserve">the opportunity to provide blackout dates during which the program requests the visit not occur (this may be due to unavailability of key program faculty/leaders, residents, institutional leaders, </w:t>
      </w:r>
      <w:proofErr w:type="spellStart"/>
      <w:r w:rsidR="297B7F71" w:rsidRPr="0E5EECA0">
        <w:rPr>
          <w:rFonts w:eastAsiaTheme="minorEastAsia"/>
        </w:rPr>
        <w:t>etc</w:t>
      </w:r>
      <w:proofErr w:type="spellEnd"/>
      <w:r w:rsidR="297B7F71" w:rsidRPr="0E5EECA0">
        <w:rPr>
          <w:rFonts w:eastAsiaTheme="minorEastAsia"/>
        </w:rPr>
        <w:t>).</w:t>
      </w:r>
      <w:r w:rsidR="1585B55A" w:rsidRPr="0E5EECA0">
        <w:rPr>
          <w:rFonts w:eastAsiaTheme="minorEastAsia"/>
        </w:rPr>
        <w:t xml:space="preserve"> </w:t>
      </w:r>
      <w:r w:rsidR="2CA7AE16" w:rsidRPr="0E5EECA0">
        <w:rPr>
          <w:rFonts w:eastAsiaTheme="minorEastAsia"/>
        </w:rPr>
        <w:t xml:space="preserve">Site reviewers will be assigned for the visit and, with ACGME personnel, will guide programs through the preparation process. </w:t>
      </w:r>
    </w:p>
    <w:p w14:paraId="129D4E5B" w14:textId="77777777" w:rsidR="00203AE3" w:rsidRDefault="00203AE3" w:rsidP="0E5EECA0">
      <w:pPr>
        <w:spacing w:after="0"/>
        <w:rPr>
          <w:rFonts w:ascii="Cambria" w:hAnsi="Cambria"/>
          <w:color w:val="0070C0"/>
          <w:sz w:val="28"/>
          <w:szCs w:val="28"/>
        </w:rPr>
      </w:pPr>
    </w:p>
    <w:p w14:paraId="46DD0877" w14:textId="2D0928F1" w:rsidR="00870305" w:rsidRDefault="4D5F4D44" w:rsidP="0E5EECA0">
      <w:pPr>
        <w:spacing w:after="0"/>
        <w:rPr>
          <w:rFonts w:eastAsiaTheme="minorEastAsia"/>
        </w:rPr>
      </w:pPr>
      <w:r w:rsidRPr="0E5EECA0">
        <w:rPr>
          <w:rFonts w:eastAsiaTheme="minorEastAsia"/>
        </w:rPr>
        <w:t>Preparation for a site visit requires collaboration between program coordinators, the PD and APDs, DIO, and institutional representatives.</w:t>
      </w:r>
      <w:r w:rsidR="5E7CC319" w:rsidRPr="0E5EECA0">
        <w:rPr>
          <w:rFonts w:eastAsiaTheme="minorEastAsia"/>
        </w:rPr>
        <w:t xml:space="preserve"> A list of required documents will be sent by the ACGME. It is important that documents are updated a</w:t>
      </w:r>
      <w:r w:rsidR="1D21A84B" w:rsidRPr="0E5EECA0">
        <w:rPr>
          <w:rFonts w:eastAsiaTheme="minorEastAsia"/>
        </w:rPr>
        <w:t>nd in the requested format. Templates (for block diagrams, etc.) are available on the ACGME website.</w:t>
      </w:r>
      <w:r w:rsidRPr="0E5EECA0">
        <w:rPr>
          <w:rFonts w:eastAsiaTheme="minorEastAsia"/>
        </w:rPr>
        <w:t xml:space="preserve"> </w:t>
      </w:r>
      <w:r w:rsidR="5BC68D7C" w:rsidRPr="0E5EECA0">
        <w:rPr>
          <w:rFonts w:eastAsiaTheme="minorEastAsia"/>
        </w:rPr>
        <w:t>Resident and faculty representatives will be requested to meet with site visitors and must be identified in advance.  T</w:t>
      </w:r>
      <w:r w:rsidR="094147AC" w:rsidRPr="0E5EECA0">
        <w:rPr>
          <w:rFonts w:eastAsiaTheme="minorEastAsia"/>
        </w:rPr>
        <w:t xml:space="preserve">hose individuals will need </w:t>
      </w:r>
      <w:r w:rsidR="094147AC" w:rsidRPr="0E5EECA0">
        <w:rPr>
          <w:rFonts w:eastAsiaTheme="minorEastAsia"/>
        </w:rPr>
        <w:lastRenderedPageBreak/>
        <w:t>to be available at the time they are requested once the schedule is sent by the site visitors. Resident representatives must be selected by their peers.</w:t>
      </w:r>
      <w:r w:rsidR="3963FE5E" w:rsidRPr="0E5EECA0">
        <w:rPr>
          <w:rFonts w:eastAsiaTheme="minorEastAsia"/>
        </w:rPr>
        <w:t xml:space="preserve"> I</w:t>
      </w:r>
      <w:r w:rsidR="3C902D03" w:rsidRPr="0E5EECA0">
        <w:rPr>
          <w:rFonts w:eastAsiaTheme="minorEastAsia"/>
        </w:rPr>
        <w:t>f available through the institutional GME office, it</w:t>
      </w:r>
      <w:r w:rsidR="3963FE5E" w:rsidRPr="0E5EECA0">
        <w:rPr>
          <w:rFonts w:eastAsiaTheme="minorEastAsia"/>
        </w:rPr>
        <w:t xml:space="preserve"> can be helpful </w:t>
      </w:r>
      <w:r w:rsidR="068B120F" w:rsidRPr="0E5EECA0">
        <w:rPr>
          <w:rFonts w:eastAsiaTheme="minorEastAsia"/>
        </w:rPr>
        <w:t xml:space="preserve">for programs to host a mock site visit to prepare for the </w:t>
      </w:r>
      <w:proofErr w:type="gramStart"/>
      <w:r w:rsidR="3C5A6527" w:rsidRPr="0E5EECA0">
        <w:rPr>
          <w:rFonts w:eastAsiaTheme="minorEastAsia"/>
        </w:rPr>
        <w:t>day</w:t>
      </w:r>
      <w:proofErr w:type="gramEnd"/>
      <w:r w:rsidR="3C5A6527" w:rsidRPr="0E5EECA0">
        <w:rPr>
          <w:rFonts w:eastAsiaTheme="minorEastAsia"/>
        </w:rPr>
        <w:t xml:space="preserve"> so participants know what to expect.</w:t>
      </w:r>
    </w:p>
    <w:p w14:paraId="7DA0E268" w14:textId="20A3CB5D" w:rsidR="00870305" w:rsidRDefault="00870305" w:rsidP="0E5EECA0">
      <w:pPr>
        <w:spacing w:after="0"/>
        <w:rPr>
          <w:rFonts w:ascii="Cambria" w:hAnsi="Cambria"/>
          <w:color w:val="0070C0"/>
          <w:sz w:val="28"/>
          <w:szCs w:val="28"/>
        </w:rPr>
      </w:pPr>
    </w:p>
    <w:p w14:paraId="0FA1EC2F" w14:textId="4F4854D2" w:rsidR="00870305" w:rsidRDefault="2E485C17" w:rsidP="0E5EECA0">
      <w:pPr>
        <w:spacing w:after="0"/>
        <w:rPr>
          <w:rFonts w:ascii="Cambria" w:hAnsi="Cambria"/>
          <w:color w:val="0070C0"/>
          <w:sz w:val="28"/>
          <w:szCs w:val="28"/>
        </w:rPr>
      </w:pPr>
      <w:r w:rsidRPr="0E5EECA0">
        <w:rPr>
          <w:rFonts w:ascii="Cambria" w:hAnsi="Cambria"/>
          <w:color w:val="0070C0"/>
          <w:sz w:val="28"/>
          <w:szCs w:val="28"/>
        </w:rPr>
        <w:t xml:space="preserve">CLER Visit </w:t>
      </w:r>
    </w:p>
    <w:p w14:paraId="229EBE27" w14:textId="77777777" w:rsidR="00F77B11" w:rsidRDefault="00F77B11" w:rsidP="0E5EECA0">
      <w:pPr>
        <w:spacing w:after="0"/>
        <w:rPr>
          <w:rFonts w:ascii="Cambria" w:hAnsi="Cambria"/>
          <w:color w:val="0070C0"/>
          <w:sz w:val="28"/>
          <w:szCs w:val="28"/>
        </w:rPr>
      </w:pPr>
    </w:p>
    <w:p w14:paraId="07752243" w14:textId="537480F6" w:rsidR="00870305" w:rsidRPr="00396FCE" w:rsidRDefault="00F77B11" w:rsidP="0E5EECA0">
      <w:pPr>
        <w:spacing w:after="0"/>
      </w:pPr>
      <w:r>
        <w:t>The Clinical Learning Environment Review (CLER) Program is designed to evaluate clinical settings affiliated with ACGME-accredited institutions and provide feedback regarding six focus areas: Patient Safety, Health Care Quality, Teaming, Supervision, Well-being, and Professionalism. The goal is to ensure residents are being appropriately instructed in the delivery of safe, high quality patient care in a professional environment.</w:t>
      </w:r>
      <w:r w:rsidR="00396FCE">
        <w:t xml:space="preserve">  In order to achieve this, the ACGME schedules intermittent CLER site visits to clinical settings in accredited institution</w:t>
      </w:r>
      <w:r w:rsidR="00DE0019">
        <w:t>s</w:t>
      </w:r>
      <w:r w:rsidR="00396FCE">
        <w:t>.</w:t>
      </w:r>
    </w:p>
    <w:p w14:paraId="0E699DA5" w14:textId="0288E633" w:rsidR="00870305" w:rsidRDefault="00870305" w:rsidP="0E5EECA0">
      <w:pPr>
        <w:spacing w:after="0"/>
        <w:rPr>
          <w:rFonts w:ascii="Cambria" w:hAnsi="Cambria"/>
          <w:color w:val="0070C0"/>
          <w:sz w:val="28"/>
          <w:szCs w:val="28"/>
        </w:rPr>
      </w:pPr>
    </w:p>
    <w:p w14:paraId="23A181E6" w14:textId="181ED19F" w:rsidR="004F29BB" w:rsidRPr="00396FCE" w:rsidRDefault="00396FCE" w:rsidP="0E5EECA0">
      <w:pPr>
        <w:spacing w:after="0"/>
      </w:pPr>
      <w:r>
        <w:t>CLER site visits are scheduled on short notice through the institution</w:t>
      </w:r>
      <w:r w:rsidR="004F29BB">
        <w:t>’s</w:t>
      </w:r>
      <w:r>
        <w:t xml:space="preserve"> DIO.</w:t>
      </w:r>
      <w:r w:rsidR="004F29BB">
        <w:t xml:space="preserve"> Generally, only one of the program’s participating sites is included in a CLER visit. Blackout dates can be submitted, similar to the site visits.</w:t>
      </w:r>
      <w:r>
        <w:t xml:space="preserve"> Required participants include the DIO, CEO of the participating site, leaders in patient safety, quality, and well-being, groups of residents, </w:t>
      </w:r>
      <w:proofErr w:type="gramStart"/>
      <w:r>
        <w:t>fellows</w:t>
      </w:r>
      <w:proofErr w:type="gramEnd"/>
      <w:r>
        <w:t xml:space="preserve"> and faculty members, GME leaders</w:t>
      </w:r>
      <w:r w:rsidR="00DE0019">
        <w:t>,</w:t>
      </w:r>
      <w:r>
        <w:t xml:space="preserve"> and program directors.  Site visitors will</w:t>
      </w:r>
      <w:r w:rsidR="006C5A61">
        <w:t xml:space="preserve"> meet with</w:t>
      </w:r>
      <w:r w:rsidR="00371255">
        <w:t xml:space="preserve"> participants and</w:t>
      </w:r>
      <w:r>
        <w:t xml:space="preserve"> visit </w:t>
      </w:r>
      <w:r w:rsidR="00371255">
        <w:t>various clinical spaces.</w:t>
      </w:r>
      <w:r>
        <w:t xml:space="preserve"> At the conclusion of the </w:t>
      </w:r>
      <w:r w:rsidR="006C5A61">
        <w:t>site visit</w:t>
      </w:r>
      <w:r w:rsidR="00371255">
        <w:t>, feedback is provided to the DIO and CEO.</w:t>
      </w:r>
    </w:p>
    <w:tbl>
      <w:tblPr>
        <w:tblStyle w:val="GridTable4-Accent1"/>
        <w:tblpPr w:leftFromText="180" w:rightFromText="180" w:vertAnchor="text" w:horzAnchor="page" w:tblpX="1454" w:tblpY="467"/>
        <w:tblW w:w="9540" w:type="dxa"/>
        <w:tblInd w:w="0" w:type="dxa"/>
        <w:tblLayout w:type="fixed"/>
        <w:tblLook w:val="04A0" w:firstRow="1" w:lastRow="0" w:firstColumn="1" w:lastColumn="0" w:noHBand="0" w:noVBand="1"/>
      </w:tblPr>
      <w:tblGrid>
        <w:gridCol w:w="1255"/>
        <w:gridCol w:w="8285"/>
      </w:tblGrid>
      <w:tr w:rsidR="00F77B11" w14:paraId="3006C28A" w14:textId="77777777" w:rsidTr="00E25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2"/>
            <w:shd w:val="clear" w:color="auto" w:fill="FFFFFF" w:themeFill="background1"/>
            <w:hideMark/>
          </w:tcPr>
          <w:p w14:paraId="0E06A579" w14:textId="77777777" w:rsidR="00F77B11" w:rsidRPr="00E2593C" w:rsidRDefault="00F77B11" w:rsidP="00FE526D">
            <w:pPr>
              <w:spacing w:line="240" w:lineRule="auto"/>
              <w:jc w:val="center"/>
              <w:rPr>
                <w:rFonts w:ascii="Calibri" w:hAnsi="Calibri" w:cs="Calibri"/>
                <w:b w:val="0"/>
                <w:bCs w:val="0"/>
                <w:color w:val="000000" w:themeColor="text1"/>
                <w:sz w:val="20"/>
                <w:szCs w:val="20"/>
              </w:rPr>
            </w:pPr>
            <w:r w:rsidRPr="00E2593C">
              <w:rPr>
                <w:rFonts w:ascii="Calibri" w:hAnsi="Calibri" w:cs="Calibri"/>
                <w:color w:val="000000" w:themeColor="text1"/>
                <w:sz w:val="20"/>
                <w:szCs w:val="20"/>
              </w:rPr>
              <w:t>SELECTED RESOURCES FOR PROGRAM DIRECTORS</w:t>
            </w:r>
          </w:p>
        </w:tc>
      </w:tr>
      <w:tr w:rsidR="00F77B11" w14:paraId="210B9583" w14:textId="77777777" w:rsidTr="00E2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24673922" w14:textId="0417AC00" w:rsidR="00F77B11" w:rsidRPr="00E2593C" w:rsidRDefault="00F77B11" w:rsidP="00FE526D">
            <w:pPr>
              <w:spacing w:line="240" w:lineRule="auto"/>
              <w:rPr>
                <w:rFonts w:ascii="Calibri" w:hAnsi="Calibri" w:cs="Calibri"/>
                <w:b w:val="0"/>
                <w:bCs w:val="0"/>
                <w:color w:val="000000" w:themeColor="text1"/>
                <w:sz w:val="20"/>
                <w:szCs w:val="20"/>
              </w:rPr>
            </w:pPr>
            <w:r w:rsidRPr="00E2593C">
              <w:rPr>
                <w:rFonts w:ascii="Calibri" w:hAnsi="Calibri" w:cs="Calibri"/>
                <w:color w:val="000000" w:themeColor="text1"/>
                <w:sz w:val="20"/>
                <w:szCs w:val="20"/>
              </w:rPr>
              <w:t>ADS</w:t>
            </w:r>
          </w:p>
        </w:tc>
        <w:tc>
          <w:tcPr>
            <w:tcW w:w="828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70796A2" w14:textId="2B21CAE6" w:rsidR="00F77B11" w:rsidRPr="00E2593C" w:rsidRDefault="00EB78BC" w:rsidP="00FE526D">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Style w:val="Hyperlink"/>
                <w:rFonts w:ascii="Calibri" w:hAnsi="Calibri" w:cs="Calibri"/>
              </w:rPr>
            </w:pPr>
            <w:hyperlink r:id="rId13" w:history="1">
              <w:r w:rsidRPr="00EB78BC">
                <w:rPr>
                  <w:rStyle w:val="Hyperlink"/>
                  <w:rFonts w:ascii="Calibri" w:hAnsi="Calibri" w:cs="Calibri"/>
                </w:rPr>
                <w:t>Updating ADS</w:t>
              </w:r>
            </w:hyperlink>
            <w:r>
              <w:rPr>
                <w:rFonts w:ascii="Calibri" w:hAnsi="Calibri" w:cs="Calibri"/>
              </w:rPr>
              <w:t xml:space="preserve"> </w:t>
            </w:r>
          </w:p>
          <w:p w14:paraId="692A910D" w14:textId="67724D7E" w:rsidR="00F77B11" w:rsidRPr="00E2593C" w:rsidRDefault="00EB78BC" w:rsidP="00FE526D">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14" w:history="1">
              <w:r w:rsidRPr="00EB78BC">
                <w:rPr>
                  <w:rStyle w:val="Hyperlink"/>
                  <w:rFonts w:ascii="Calibri" w:hAnsi="Calibri" w:cs="Calibri"/>
                </w:rPr>
                <w:t>FAQs</w:t>
              </w:r>
            </w:hyperlink>
            <w:r>
              <w:rPr>
                <w:rFonts w:ascii="Calibri" w:hAnsi="Calibri" w:cs="Calibri"/>
              </w:rPr>
              <w:t xml:space="preserve"> </w:t>
            </w:r>
          </w:p>
        </w:tc>
      </w:tr>
      <w:tr w:rsidR="00F77B11" w14:paraId="323FF70C" w14:textId="77777777" w:rsidTr="00E2593C">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54738ABF" w14:textId="52FA8E5B" w:rsidR="00F77B11" w:rsidRPr="00E2593C" w:rsidRDefault="00F77B11" w:rsidP="00FE526D">
            <w:pPr>
              <w:spacing w:line="240" w:lineRule="auto"/>
              <w:rPr>
                <w:rFonts w:ascii="Calibri" w:hAnsi="Calibri" w:cs="Calibri"/>
                <w:b w:val="0"/>
                <w:bCs w:val="0"/>
                <w:color w:val="000000" w:themeColor="text1"/>
                <w:sz w:val="20"/>
                <w:szCs w:val="20"/>
              </w:rPr>
            </w:pPr>
            <w:r w:rsidRPr="00E2593C">
              <w:rPr>
                <w:rFonts w:ascii="Calibri" w:hAnsi="Calibri" w:cs="Calibri"/>
                <w:color w:val="000000" w:themeColor="text1"/>
                <w:sz w:val="20"/>
                <w:szCs w:val="20"/>
              </w:rPr>
              <w:t xml:space="preserve">Self-Study </w:t>
            </w:r>
          </w:p>
        </w:tc>
        <w:tc>
          <w:tcPr>
            <w:tcW w:w="828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6F9E9827" w14:textId="71342DDE" w:rsidR="00F77B11" w:rsidRPr="00E2593C" w:rsidRDefault="00EB78BC" w:rsidP="00FE526D">
            <w:pPr>
              <w:pStyle w:val="ListParagraph"/>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hyperlink r:id="rId15" w:history="1">
              <w:r w:rsidRPr="00EB78BC">
                <w:rPr>
                  <w:rStyle w:val="Hyperlink"/>
                  <w:rFonts w:ascii="Calibri" w:hAnsi="Calibri" w:cs="Calibri"/>
                </w:rPr>
                <w:t>Self-Study Information and Steps</w:t>
              </w:r>
            </w:hyperlink>
            <w:r>
              <w:rPr>
                <w:rFonts w:ascii="Calibri" w:hAnsi="Calibri" w:cs="Calibri"/>
              </w:rPr>
              <w:t xml:space="preserve"> </w:t>
            </w:r>
          </w:p>
        </w:tc>
      </w:tr>
      <w:tr w:rsidR="00F77B11" w14:paraId="64094ACF" w14:textId="77777777" w:rsidTr="00E2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5AF549F8" w14:textId="79D0A4AB" w:rsidR="00F77B11" w:rsidRPr="00E2593C" w:rsidRDefault="00EB78BC" w:rsidP="00FE526D">
            <w:pPr>
              <w:spacing w:line="240" w:lineRule="auto"/>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Guide</w:t>
            </w:r>
            <w:r w:rsidRPr="00E2593C">
              <w:rPr>
                <w:rFonts w:ascii="Calibri" w:hAnsi="Calibri" w:cs="Calibri"/>
                <w:color w:val="000000" w:themeColor="text1"/>
                <w:sz w:val="20"/>
                <w:szCs w:val="20"/>
              </w:rPr>
              <w:t xml:space="preserve"> </w:t>
            </w:r>
          </w:p>
        </w:tc>
        <w:tc>
          <w:tcPr>
            <w:tcW w:w="828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0F239B4B" w14:textId="24D1004C" w:rsidR="00F77B11" w:rsidRPr="00E2593C" w:rsidRDefault="00EB78BC" w:rsidP="00FE526D">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0"/>
              </w:rPr>
            </w:pPr>
            <w:hyperlink r:id="rId16" w:history="1">
              <w:r w:rsidRPr="00EB78BC">
                <w:rPr>
                  <w:rStyle w:val="Hyperlink"/>
                  <w:rFonts w:ascii="Calibri" w:hAnsi="Calibri" w:cs="Calibri"/>
                  <w:szCs w:val="20"/>
                </w:rPr>
                <w:t>Overview for Program Directors and Coordinators</w:t>
              </w:r>
            </w:hyperlink>
            <w:r>
              <w:rPr>
                <w:rFonts w:ascii="Calibri" w:hAnsi="Calibri" w:cs="Calibri"/>
                <w:color w:val="000000" w:themeColor="text1"/>
                <w:szCs w:val="20"/>
              </w:rPr>
              <w:t xml:space="preserve"> </w:t>
            </w:r>
          </w:p>
        </w:tc>
      </w:tr>
      <w:tr w:rsidR="00F77B11" w14:paraId="1DBD603A" w14:textId="77777777" w:rsidTr="00E2593C">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5387DABD" w14:textId="77777777" w:rsidR="00F77B11" w:rsidRPr="00E2593C" w:rsidRDefault="00F77B11" w:rsidP="00FE526D">
            <w:pPr>
              <w:spacing w:line="240" w:lineRule="auto"/>
              <w:rPr>
                <w:rFonts w:ascii="Calibri" w:hAnsi="Calibri" w:cs="Calibri"/>
                <w:b w:val="0"/>
                <w:bCs w:val="0"/>
                <w:color w:val="000000" w:themeColor="text1"/>
                <w:sz w:val="20"/>
                <w:szCs w:val="20"/>
              </w:rPr>
            </w:pPr>
            <w:r w:rsidRPr="00E2593C">
              <w:rPr>
                <w:rFonts w:ascii="Calibri" w:hAnsi="Calibri" w:cs="Calibri"/>
                <w:color w:val="000000" w:themeColor="text1"/>
                <w:sz w:val="20"/>
                <w:szCs w:val="20"/>
              </w:rPr>
              <w:t>Surveys</w:t>
            </w:r>
          </w:p>
        </w:tc>
        <w:tc>
          <w:tcPr>
            <w:tcW w:w="828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1DDF61F3" w14:textId="38E04656" w:rsidR="00F77B11" w:rsidRPr="00E2593C" w:rsidRDefault="00EB78BC" w:rsidP="00FE526D">
            <w:pPr>
              <w:pStyle w:val="ListParagraph"/>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hyperlink r:id="rId17" w:history="1">
              <w:r w:rsidRPr="00EB78BC">
                <w:rPr>
                  <w:rStyle w:val="Hyperlink"/>
                  <w:rFonts w:ascii="Calibri" w:hAnsi="Calibri" w:cs="Calibri"/>
                </w:rPr>
                <w:t>Survey Information</w:t>
              </w:r>
            </w:hyperlink>
            <w:r>
              <w:rPr>
                <w:rFonts w:ascii="Calibri" w:hAnsi="Calibri" w:cs="Calibri"/>
              </w:rPr>
              <w:t xml:space="preserve"> </w:t>
            </w:r>
          </w:p>
        </w:tc>
      </w:tr>
      <w:tr w:rsidR="00F77B11" w14:paraId="6A727D9F" w14:textId="77777777" w:rsidTr="00E2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05214659" w14:textId="0EF72F35" w:rsidR="00F77B11" w:rsidRPr="00E2593C" w:rsidRDefault="00F77B11" w:rsidP="00FE526D">
            <w:pPr>
              <w:spacing w:line="240" w:lineRule="auto"/>
              <w:rPr>
                <w:rFonts w:ascii="Calibri" w:hAnsi="Calibri" w:cs="Calibri"/>
                <w:b w:val="0"/>
                <w:bCs w:val="0"/>
                <w:color w:val="000000" w:themeColor="text1"/>
                <w:sz w:val="20"/>
                <w:szCs w:val="20"/>
              </w:rPr>
            </w:pPr>
            <w:r w:rsidRPr="00E2593C">
              <w:rPr>
                <w:rFonts w:ascii="Calibri" w:hAnsi="Calibri" w:cs="Calibri"/>
                <w:color w:val="000000" w:themeColor="text1"/>
                <w:sz w:val="20"/>
                <w:szCs w:val="20"/>
              </w:rPr>
              <w:t>Site Visit</w:t>
            </w:r>
            <w:r w:rsidR="00EB78BC">
              <w:rPr>
                <w:rFonts w:ascii="Calibri" w:hAnsi="Calibri" w:cs="Calibri"/>
                <w:b w:val="0"/>
                <w:bCs w:val="0"/>
                <w:color w:val="000000" w:themeColor="text1"/>
                <w:sz w:val="20"/>
                <w:szCs w:val="20"/>
              </w:rPr>
              <w:t>s</w:t>
            </w:r>
          </w:p>
        </w:tc>
        <w:tc>
          <w:tcPr>
            <w:tcW w:w="828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68947D6D" w14:textId="6F41DC20" w:rsidR="00F77B11" w:rsidRPr="00E2593C" w:rsidRDefault="00EB78BC" w:rsidP="00FE526D">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467886" w:themeColor="hyperlink"/>
                <w:u w:val="single"/>
              </w:rPr>
            </w:pPr>
            <w:hyperlink r:id="rId18" w:history="1">
              <w:r w:rsidRPr="00EB78BC">
                <w:rPr>
                  <w:rStyle w:val="Hyperlink"/>
                  <w:rFonts w:ascii="Calibri" w:hAnsi="Calibri" w:cs="Calibri"/>
                </w:rPr>
                <w:t>Overview</w:t>
              </w:r>
            </w:hyperlink>
          </w:p>
          <w:p w14:paraId="4CA6A65E" w14:textId="0A384850" w:rsidR="00FE526D" w:rsidRPr="00E2593C" w:rsidRDefault="00FE526D" w:rsidP="00FE526D">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Style w:val="Hyperlink"/>
                <w:rFonts w:ascii="Calibri" w:hAnsi="Calibri" w:cs="Calibri"/>
                <w:color w:val="auto"/>
              </w:rPr>
            </w:pPr>
            <w:r w:rsidRPr="00E2593C">
              <w:rPr>
                <w:rStyle w:val="Hyperlink"/>
                <w:rFonts w:ascii="Calibri" w:hAnsi="Calibri" w:cs="Calibri"/>
                <w:color w:val="auto"/>
                <w:u w:val="none"/>
              </w:rPr>
              <w:t>Individual Institutional Guides</w:t>
            </w:r>
          </w:p>
          <w:p w14:paraId="2C3ACA61" w14:textId="7D115731" w:rsidR="00FE526D" w:rsidRPr="00E2593C" w:rsidRDefault="00FE526D" w:rsidP="00FE526D">
            <w:pPr>
              <w:pStyle w:val="ListParagraph"/>
              <w:numPr>
                <w:ilvl w:val="1"/>
                <w:numId w:val="4"/>
              </w:numPr>
              <w:spacing w:line="240" w:lineRule="auto"/>
              <w:cnfStyle w:val="000000100000" w:firstRow="0" w:lastRow="0" w:firstColumn="0" w:lastColumn="0" w:oddVBand="0" w:evenVBand="0" w:oddHBand="1" w:evenHBand="0" w:firstRowFirstColumn="0" w:firstRowLastColumn="0" w:lastRowFirstColumn="0" w:lastRowLastColumn="0"/>
              <w:rPr>
                <w:rStyle w:val="Hyperlink"/>
                <w:rFonts w:ascii="Calibri" w:hAnsi="Calibri" w:cs="Calibri"/>
                <w:color w:val="auto"/>
              </w:rPr>
            </w:pPr>
            <w:hyperlink r:id="rId19" w:history="1">
              <w:r w:rsidRPr="00FE526D">
                <w:rPr>
                  <w:rStyle w:val="Hyperlink"/>
                  <w:rFonts w:ascii="Calibri" w:hAnsi="Calibri" w:cs="Calibri"/>
                </w:rPr>
                <w:t>University of Texas</w:t>
              </w:r>
            </w:hyperlink>
            <w:r>
              <w:rPr>
                <w:rStyle w:val="Hyperlink"/>
                <w:rFonts w:ascii="Calibri" w:hAnsi="Calibri" w:cs="Calibri"/>
                <w:color w:val="auto"/>
                <w:u w:val="none"/>
              </w:rPr>
              <w:t>, 2016</w:t>
            </w:r>
          </w:p>
          <w:p w14:paraId="783D805E" w14:textId="7CE5A181" w:rsidR="00F77B11" w:rsidRPr="00E2593C" w:rsidRDefault="00FE526D" w:rsidP="00E2593C">
            <w:pPr>
              <w:pStyle w:val="ListParagraph"/>
              <w:numPr>
                <w:ilvl w:val="1"/>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0" w:history="1">
              <w:r w:rsidRPr="00FE526D">
                <w:rPr>
                  <w:rStyle w:val="Hyperlink"/>
                  <w:rFonts w:ascii="Calibri" w:hAnsi="Calibri" w:cs="Calibri"/>
                </w:rPr>
                <w:t>Indiana University</w:t>
              </w:r>
            </w:hyperlink>
            <w:r>
              <w:rPr>
                <w:rStyle w:val="Hyperlink"/>
                <w:rFonts w:ascii="Calibri" w:hAnsi="Calibri" w:cs="Calibri"/>
                <w:color w:val="auto"/>
                <w:u w:val="none"/>
              </w:rPr>
              <w:t>, presented at 2021 AAAAI Meeting</w:t>
            </w:r>
          </w:p>
        </w:tc>
      </w:tr>
      <w:tr w:rsidR="00203AE3" w14:paraId="41F58256" w14:textId="77777777" w:rsidTr="00E2593C">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454A371F" w14:textId="08037C20" w:rsidR="00203AE3" w:rsidRPr="00E2593C" w:rsidRDefault="00203AE3" w:rsidP="00FE526D">
            <w:pPr>
              <w:spacing w:line="240" w:lineRule="auto"/>
              <w:rPr>
                <w:rFonts w:ascii="Calibri" w:hAnsi="Calibri" w:cs="Calibri"/>
                <w:b w:val="0"/>
                <w:bCs w:val="0"/>
                <w:color w:val="000000" w:themeColor="text1"/>
                <w:sz w:val="20"/>
                <w:szCs w:val="20"/>
              </w:rPr>
            </w:pPr>
            <w:r w:rsidRPr="00E2593C">
              <w:rPr>
                <w:rFonts w:ascii="Calibri" w:hAnsi="Calibri" w:cs="Calibri"/>
                <w:color w:val="000000" w:themeColor="text1"/>
                <w:sz w:val="20"/>
                <w:szCs w:val="20"/>
              </w:rPr>
              <w:t>CLER</w:t>
            </w:r>
          </w:p>
        </w:tc>
        <w:tc>
          <w:tcPr>
            <w:tcW w:w="8285"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4B316B7D" w14:textId="7462E45A" w:rsidR="00203AE3" w:rsidRPr="00E2593C" w:rsidRDefault="00FE526D" w:rsidP="00FE526D">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hyperlink r:id="rId21" w:history="1">
              <w:r w:rsidRPr="00FE526D">
                <w:rPr>
                  <w:rStyle w:val="Hyperlink"/>
                  <w:rFonts w:ascii="Calibri" w:hAnsi="Calibri" w:cs="Calibri"/>
                  <w:szCs w:val="20"/>
                </w:rPr>
                <w:t>Overview</w:t>
              </w:r>
            </w:hyperlink>
          </w:p>
        </w:tc>
      </w:tr>
    </w:tbl>
    <w:p w14:paraId="20BDE928" w14:textId="77777777" w:rsidR="00870305" w:rsidRDefault="00870305" w:rsidP="00870305">
      <w:pPr>
        <w:spacing w:after="0"/>
        <w:rPr>
          <w:rFonts w:ascii="Cambria" w:hAnsi="Cambria"/>
          <w:color w:val="0070C0"/>
          <w:sz w:val="28"/>
          <w:szCs w:val="28"/>
        </w:rPr>
      </w:pPr>
    </w:p>
    <w:p w14:paraId="744B651E" w14:textId="277244A9" w:rsidR="00203AE3" w:rsidRDefault="00203AE3" w:rsidP="004A020C">
      <w:pPr>
        <w:spacing w:after="0"/>
        <w:rPr>
          <w:rFonts w:ascii="Cambria" w:hAnsi="Cambria"/>
          <w:color w:val="0070C0"/>
          <w:sz w:val="28"/>
          <w:szCs w:val="28"/>
        </w:rPr>
      </w:pPr>
    </w:p>
    <w:p w14:paraId="65C0DEC2" w14:textId="77777777" w:rsidR="00FE526D" w:rsidRDefault="00FE526D" w:rsidP="004A020C">
      <w:pPr>
        <w:spacing w:after="0"/>
        <w:rPr>
          <w:rFonts w:ascii="Cambria" w:hAnsi="Cambria"/>
          <w:color w:val="0070C0"/>
          <w:sz w:val="28"/>
          <w:szCs w:val="28"/>
        </w:rPr>
      </w:pPr>
    </w:p>
    <w:p w14:paraId="0DFA3487" w14:textId="3636EDBE" w:rsidR="00E24C38" w:rsidRDefault="00870305" w:rsidP="004A020C">
      <w:pPr>
        <w:spacing w:after="0"/>
        <w:rPr>
          <w:rFonts w:ascii="Cambria" w:hAnsi="Cambria"/>
          <w:color w:val="0070C0"/>
          <w:sz w:val="28"/>
          <w:szCs w:val="28"/>
        </w:rPr>
      </w:pPr>
      <w:r>
        <w:rPr>
          <w:rFonts w:ascii="Cambria" w:hAnsi="Cambria"/>
          <w:color w:val="0070C0"/>
          <w:sz w:val="28"/>
          <w:szCs w:val="28"/>
        </w:rPr>
        <w:t>Selected Resources</w:t>
      </w:r>
    </w:p>
    <w:p w14:paraId="32A867AE" w14:textId="48132287" w:rsidR="004A020C" w:rsidRDefault="004A020C" w:rsidP="004A020C">
      <w:pPr>
        <w:spacing w:after="0"/>
        <w:rPr>
          <w:rFonts w:ascii="Cambria" w:hAnsi="Cambria"/>
          <w:color w:val="0070C0"/>
          <w:sz w:val="28"/>
          <w:szCs w:val="28"/>
        </w:rPr>
      </w:pPr>
    </w:p>
    <w:p w14:paraId="2D97A6E2" w14:textId="4F6F4D6B" w:rsidR="00215454" w:rsidRPr="00E2593C" w:rsidRDefault="00FE526D" w:rsidP="00215454">
      <w:pPr>
        <w:pStyle w:val="ListParagraph"/>
        <w:numPr>
          <w:ilvl w:val="0"/>
          <w:numId w:val="10"/>
        </w:numPr>
        <w:spacing w:after="0"/>
        <w:rPr>
          <w:rFonts w:ascii="Calibri" w:hAnsi="Calibri" w:cs="Calibri"/>
          <w:color w:val="000000" w:themeColor="text1"/>
        </w:rPr>
      </w:pPr>
      <w:hyperlink r:id="rId22" w:history="1">
        <w:r w:rsidR="00215454" w:rsidRPr="00E2593C">
          <w:rPr>
            <w:rStyle w:val="Hyperlink"/>
            <w:rFonts w:ascii="Calibri" w:hAnsi="Calibri" w:cs="Calibri"/>
          </w:rPr>
          <w:t>https://www.acgme.org/globalassets/PFAssets/ProgramResources/THReviewCommitteeStructureandResponsibilities.pdf</w:t>
        </w:r>
      </w:hyperlink>
      <w:r w:rsidR="00215454" w:rsidRPr="00E2593C">
        <w:rPr>
          <w:rFonts w:ascii="Calibri" w:hAnsi="Calibri" w:cs="Calibri"/>
          <w:color w:val="000000" w:themeColor="text1"/>
        </w:rPr>
        <w:t xml:space="preserve"> </w:t>
      </w:r>
    </w:p>
    <w:p w14:paraId="7507C6E4" w14:textId="373B28B0" w:rsidR="00215454" w:rsidRPr="00E2593C" w:rsidRDefault="6FEE7FAA" w:rsidP="0E5EECA0">
      <w:pPr>
        <w:pStyle w:val="ListParagraph"/>
        <w:numPr>
          <w:ilvl w:val="0"/>
          <w:numId w:val="10"/>
        </w:numPr>
        <w:spacing w:after="0"/>
        <w:rPr>
          <w:rStyle w:val="Hyperlink"/>
          <w:rFonts w:ascii="Calibri" w:hAnsi="Calibri" w:cs="Calibri"/>
          <w:color w:val="0070C0"/>
          <w:u w:val="none"/>
        </w:rPr>
      </w:pPr>
      <w:r w:rsidRPr="00E2593C">
        <w:rPr>
          <w:rFonts w:ascii="Calibri" w:hAnsi="Calibri" w:cs="Calibri"/>
          <w:color w:val="0070C0"/>
        </w:rPr>
        <w:t xml:space="preserve"> </w:t>
      </w:r>
      <w:hyperlink r:id="rId23">
        <w:r w:rsidRPr="00E2593C">
          <w:rPr>
            <w:rStyle w:val="Hyperlink"/>
            <w:rFonts w:ascii="Calibri" w:hAnsi="Calibri" w:cs="Calibri"/>
          </w:rPr>
          <w:t>https://www.acgme.org/data-systems-technical-support/resident-fellow-and-faculty-surveys/</w:t>
        </w:r>
      </w:hyperlink>
    </w:p>
    <w:p w14:paraId="7F065FC6" w14:textId="32846A97" w:rsidR="004F29BB" w:rsidRPr="00E2593C" w:rsidRDefault="00FE526D" w:rsidP="0E5EECA0">
      <w:pPr>
        <w:pStyle w:val="ListParagraph"/>
        <w:numPr>
          <w:ilvl w:val="0"/>
          <w:numId w:val="10"/>
        </w:numPr>
        <w:spacing w:after="0"/>
        <w:rPr>
          <w:rFonts w:ascii="Calibri" w:hAnsi="Calibri" w:cs="Calibri"/>
          <w:color w:val="0070C0"/>
        </w:rPr>
      </w:pPr>
      <w:hyperlink r:id="rId24" w:history="1">
        <w:r w:rsidR="004F29BB" w:rsidRPr="00E2593C">
          <w:rPr>
            <w:rStyle w:val="Hyperlink"/>
            <w:rFonts w:ascii="Calibri" w:hAnsi="Calibri" w:cs="Calibri"/>
          </w:rPr>
          <w:t>https://www.acgme.org/initiatives/clinical-learning-environment-review-cler/cler-site-visit/</w:t>
        </w:r>
      </w:hyperlink>
    </w:p>
    <w:p w14:paraId="2C76D6FE" w14:textId="77777777" w:rsidR="004F29BB" w:rsidRPr="00215454" w:rsidRDefault="004F29BB" w:rsidP="004F29BB">
      <w:pPr>
        <w:pStyle w:val="ListParagraph"/>
        <w:spacing w:after="0"/>
        <w:rPr>
          <w:rFonts w:ascii="Cambria" w:hAnsi="Cambria"/>
          <w:color w:val="0070C0"/>
          <w:sz w:val="28"/>
          <w:szCs w:val="28"/>
        </w:rPr>
      </w:pPr>
    </w:p>
    <w:p w14:paraId="3ED049D6" w14:textId="77777777" w:rsidR="004A020C" w:rsidRPr="004A020C" w:rsidRDefault="004A020C" w:rsidP="004A020C">
      <w:pPr>
        <w:spacing w:after="0"/>
        <w:rPr>
          <w:rFonts w:ascii="Cambria" w:hAnsi="Cambria"/>
          <w:color w:val="0070C0"/>
          <w:sz w:val="28"/>
          <w:szCs w:val="28"/>
        </w:rPr>
      </w:pPr>
    </w:p>
    <w:sectPr w:rsidR="004A020C" w:rsidRPr="004A020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Nelsen" w:date="2024-02-07T13:27:00Z" w:initials="EN">
    <w:p w14:paraId="23DF9B42" w14:textId="77777777" w:rsidR="00536E60" w:rsidRDefault="00536E60" w:rsidP="002409DB">
      <w:pPr>
        <w:pStyle w:val="CommentText"/>
      </w:pPr>
      <w:r>
        <w:rPr>
          <w:rStyle w:val="CommentReference"/>
        </w:rPr>
        <w:annotationRef/>
      </w:r>
      <w:r>
        <w:t>Faculty completion can also be tracked</w:t>
      </w:r>
    </w:p>
  </w:comment>
  <w:comment w:id="1" w:author="Elizabeth Nelsen" w:date="2024-02-07T13:28:00Z" w:initials="EN">
    <w:p w14:paraId="5150E0A3" w14:textId="77777777" w:rsidR="009D2F4D" w:rsidRDefault="009D2F4D" w:rsidP="002477BD">
      <w:pPr>
        <w:pStyle w:val="CommentText"/>
      </w:pPr>
      <w:r>
        <w:rPr>
          <w:rStyle w:val="CommentReference"/>
        </w:rPr>
        <w:annotationRef/>
      </w:r>
      <w:r>
        <w:t>Would indicate time frame to clarify - it's a few weeks after the surveys close (aka not immediate)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F9B42" w15:done="0"/>
  <w15:commentEx w15:paraId="5150E0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E03D1" w16cex:dateUtc="2024-02-07T18:27:00Z"/>
  <w16cex:commentExtensible w16cex:durableId="296E040C" w16cex:dateUtc="2024-02-07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F9B42" w16cid:durableId="296E03D1"/>
  <w16cid:commentId w16cid:paraId="5150E0A3" w16cid:durableId="296E04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0087"/>
    <w:multiLevelType w:val="hybridMultilevel"/>
    <w:tmpl w:val="EDC8B006"/>
    <w:lvl w:ilvl="0" w:tplc="BA18C534">
      <w:numFmt w:val="bullet"/>
      <w:lvlText w:val="-"/>
      <w:lvlJc w:val="left"/>
      <w:pPr>
        <w:ind w:left="720" w:hanging="360"/>
      </w:pPr>
      <w:rPr>
        <w:rFonts w:ascii="Aptos" w:eastAsiaTheme="minorHAnsi"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84844"/>
    <w:multiLevelType w:val="hybridMultilevel"/>
    <w:tmpl w:val="6D4E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C4C12"/>
    <w:multiLevelType w:val="hybridMultilevel"/>
    <w:tmpl w:val="0854F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730149"/>
    <w:multiLevelType w:val="hybridMultilevel"/>
    <w:tmpl w:val="395AA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F541F4B"/>
    <w:multiLevelType w:val="hybridMultilevel"/>
    <w:tmpl w:val="2A4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846A7"/>
    <w:multiLevelType w:val="hybridMultilevel"/>
    <w:tmpl w:val="679C5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ED59DE"/>
    <w:multiLevelType w:val="hybridMultilevel"/>
    <w:tmpl w:val="659C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733CE"/>
    <w:multiLevelType w:val="hybridMultilevel"/>
    <w:tmpl w:val="61E86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44257EF"/>
    <w:multiLevelType w:val="hybridMultilevel"/>
    <w:tmpl w:val="BEEE6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9EA5700"/>
    <w:multiLevelType w:val="hybridMultilevel"/>
    <w:tmpl w:val="CE5C2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039006">
    <w:abstractNumId w:val="5"/>
  </w:num>
  <w:num w:numId="2" w16cid:durableId="1174418818">
    <w:abstractNumId w:val="7"/>
  </w:num>
  <w:num w:numId="3" w16cid:durableId="1502969342">
    <w:abstractNumId w:val="8"/>
  </w:num>
  <w:num w:numId="4" w16cid:durableId="701631445">
    <w:abstractNumId w:val="3"/>
  </w:num>
  <w:num w:numId="5" w16cid:durableId="1064371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681118">
    <w:abstractNumId w:val="0"/>
  </w:num>
  <w:num w:numId="7" w16cid:durableId="157965364">
    <w:abstractNumId w:val="1"/>
  </w:num>
  <w:num w:numId="8" w16cid:durableId="2141727030">
    <w:abstractNumId w:val="9"/>
  </w:num>
  <w:num w:numId="9" w16cid:durableId="196815087">
    <w:abstractNumId w:val="4"/>
  </w:num>
  <w:num w:numId="10" w16cid:durableId="7027066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Nelsen">
    <w15:presenceInfo w15:providerId="AD" w15:userId="S::NelsenE@upstate.edu::0ff1f47c-eb49-4912-8baa-d8ba13b51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05"/>
    <w:rsid w:val="0006507D"/>
    <w:rsid w:val="00091EF3"/>
    <w:rsid w:val="001040D5"/>
    <w:rsid w:val="00133D1C"/>
    <w:rsid w:val="00134933"/>
    <w:rsid w:val="00157A07"/>
    <w:rsid w:val="00203AE3"/>
    <w:rsid w:val="00215454"/>
    <w:rsid w:val="0022321D"/>
    <w:rsid w:val="003020A2"/>
    <w:rsid w:val="00371255"/>
    <w:rsid w:val="00396FCE"/>
    <w:rsid w:val="003F3229"/>
    <w:rsid w:val="00421E92"/>
    <w:rsid w:val="004332F6"/>
    <w:rsid w:val="004A020C"/>
    <w:rsid w:val="004D08F5"/>
    <w:rsid w:val="004F29BB"/>
    <w:rsid w:val="004F2C54"/>
    <w:rsid w:val="00533016"/>
    <w:rsid w:val="00536E60"/>
    <w:rsid w:val="006C5A61"/>
    <w:rsid w:val="007B265A"/>
    <w:rsid w:val="008620D4"/>
    <w:rsid w:val="00870305"/>
    <w:rsid w:val="00876A5E"/>
    <w:rsid w:val="00944AFB"/>
    <w:rsid w:val="009B451E"/>
    <w:rsid w:val="009D2F4D"/>
    <w:rsid w:val="00A07D25"/>
    <w:rsid w:val="00A955F0"/>
    <w:rsid w:val="00AA1D79"/>
    <w:rsid w:val="00C41AF9"/>
    <w:rsid w:val="00D2572A"/>
    <w:rsid w:val="00DD7481"/>
    <w:rsid w:val="00DE0019"/>
    <w:rsid w:val="00DF3E16"/>
    <w:rsid w:val="00E22CA1"/>
    <w:rsid w:val="00E24C38"/>
    <w:rsid w:val="00E2593C"/>
    <w:rsid w:val="00EA1D23"/>
    <w:rsid w:val="00EB78BC"/>
    <w:rsid w:val="00F254FC"/>
    <w:rsid w:val="00F77B11"/>
    <w:rsid w:val="00FE526D"/>
    <w:rsid w:val="011B1540"/>
    <w:rsid w:val="016D307C"/>
    <w:rsid w:val="0185C768"/>
    <w:rsid w:val="01EA7C16"/>
    <w:rsid w:val="04DBF7F4"/>
    <w:rsid w:val="053B4535"/>
    <w:rsid w:val="06001C44"/>
    <w:rsid w:val="068B120F"/>
    <w:rsid w:val="06D99BB6"/>
    <w:rsid w:val="071F0AEF"/>
    <w:rsid w:val="07DACF9C"/>
    <w:rsid w:val="094147AC"/>
    <w:rsid w:val="09D5408C"/>
    <w:rsid w:val="09FD7B81"/>
    <w:rsid w:val="0B734B27"/>
    <w:rsid w:val="0D40321A"/>
    <w:rsid w:val="0E2C242A"/>
    <w:rsid w:val="0E5EECA0"/>
    <w:rsid w:val="10F8E0D6"/>
    <w:rsid w:val="141CC186"/>
    <w:rsid w:val="155168FF"/>
    <w:rsid w:val="1562D2F1"/>
    <w:rsid w:val="1585B55A"/>
    <w:rsid w:val="15AF7288"/>
    <w:rsid w:val="1749F6EB"/>
    <w:rsid w:val="176A0FB4"/>
    <w:rsid w:val="188F0196"/>
    <w:rsid w:val="18D9DEB2"/>
    <w:rsid w:val="191333B8"/>
    <w:rsid w:val="19526980"/>
    <w:rsid w:val="1ACF3E2B"/>
    <w:rsid w:val="1AEE39E1"/>
    <w:rsid w:val="1C117F74"/>
    <w:rsid w:val="1C8A0A42"/>
    <w:rsid w:val="1D21A84B"/>
    <w:rsid w:val="1EEE8F3E"/>
    <w:rsid w:val="1F492036"/>
    <w:rsid w:val="1F5BF93C"/>
    <w:rsid w:val="20F7C99D"/>
    <w:rsid w:val="2391EAD1"/>
    <w:rsid w:val="23CBBC68"/>
    <w:rsid w:val="2630EC88"/>
    <w:rsid w:val="26EA34CD"/>
    <w:rsid w:val="26F22253"/>
    <w:rsid w:val="27CCBCE9"/>
    <w:rsid w:val="2826DF2B"/>
    <w:rsid w:val="28904F99"/>
    <w:rsid w:val="29688D4A"/>
    <w:rsid w:val="297B7F71"/>
    <w:rsid w:val="2C20D88E"/>
    <w:rsid w:val="2CA07DB8"/>
    <w:rsid w:val="2CA7AE16"/>
    <w:rsid w:val="2CE8EE39"/>
    <w:rsid w:val="2E485C17"/>
    <w:rsid w:val="2E9E0E35"/>
    <w:rsid w:val="2FC57CEB"/>
    <w:rsid w:val="3039DE96"/>
    <w:rsid w:val="318FE72E"/>
    <w:rsid w:val="31E19791"/>
    <w:rsid w:val="3234D4FA"/>
    <w:rsid w:val="3314E324"/>
    <w:rsid w:val="33717F58"/>
    <w:rsid w:val="37035B24"/>
    <w:rsid w:val="37E2E0B3"/>
    <w:rsid w:val="3963FE5E"/>
    <w:rsid w:val="3A594BAA"/>
    <w:rsid w:val="3B1A8175"/>
    <w:rsid w:val="3B350F0A"/>
    <w:rsid w:val="3B7C913D"/>
    <w:rsid w:val="3B7CCB92"/>
    <w:rsid w:val="3C5A6527"/>
    <w:rsid w:val="3C902D03"/>
    <w:rsid w:val="3D7787A1"/>
    <w:rsid w:val="3EB431FF"/>
    <w:rsid w:val="3F1DA26D"/>
    <w:rsid w:val="4189C2F9"/>
    <w:rsid w:val="42ACEED8"/>
    <w:rsid w:val="450A4B26"/>
    <w:rsid w:val="45AD3928"/>
    <w:rsid w:val="45C3F020"/>
    <w:rsid w:val="49119907"/>
    <w:rsid w:val="4A294A90"/>
    <w:rsid w:val="4B798CAA"/>
    <w:rsid w:val="4C132D5B"/>
    <w:rsid w:val="4D5F4D44"/>
    <w:rsid w:val="4E49531B"/>
    <w:rsid w:val="50988C14"/>
    <w:rsid w:val="51588B41"/>
    <w:rsid w:val="51B94B8E"/>
    <w:rsid w:val="52345C75"/>
    <w:rsid w:val="533BB724"/>
    <w:rsid w:val="53D02CD6"/>
    <w:rsid w:val="54B74701"/>
    <w:rsid w:val="55344510"/>
    <w:rsid w:val="56B71FE5"/>
    <w:rsid w:val="57671AD9"/>
    <w:rsid w:val="5A2645FD"/>
    <w:rsid w:val="5B46C909"/>
    <w:rsid w:val="5B511374"/>
    <w:rsid w:val="5B795631"/>
    <w:rsid w:val="5BC68D7C"/>
    <w:rsid w:val="5C21639F"/>
    <w:rsid w:val="5C295125"/>
    <w:rsid w:val="5DABF929"/>
    <w:rsid w:val="5DBD3400"/>
    <w:rsid w:val="5E7CC319"/>
    <w:rsid w:val="5EF53BAF"/>
    <w:rsid w:val="5F60F1E7"/>
    <w:rsid w:val="5F722CBE"/>
    <w:rsid w:val="60F4D4C2"/>
    <w:rsid w:val="610C1B09"/>
    <w:rsid w:val="6507101A"/>
    <w:rsid w:val="66717D87"/>
    <w:rsid w:val="676C03CC"/>
    <w:rsid w:val="683EB0DC"/>
    <w:rsid w:val="6A52681D"/>
    <w:rsid w:val="6ACE4430"/>
    <w:rsid w:val="6B228080"/>
    <w:rsid w:val="6EA591D2"/>
    <w:rsid w:val="6EADF260"/>
    <w:rsid w:val="6FBFFD1C"/>
    <w:rsid w:val="6FEE7FAA"/>
    <w:rsid w:val="718916E4"/>
    <w:rsid w:val="72A6C8ED"/>
    <w:rsid w:val="72B11358"/>
    <w:rsid w:val="73895109"/>
    <w:rsid w:val="73C74BF9"/>
    <w:rsid w:val="73E3734B"/>
    <w:rsid w:val="74415A29"/>
    <w:rsid w:val="744A86D4"/>
    <w:rsid w:val="762569BB"/>
    <w:rsid w:val="764217A6"/>
    <w:rsid w:val="77BE020F"/>
    <w:rsid w:val="77DDE807"/>
    <w:rsid w:val="7C90A8CC"/>
    <w:rsid w:val="7F45D370"/>
    <w:rsid w:val="7F588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E19"/>
  <w15:chartTrackingRefBased/>
  <w15:docId w15:val="{7583F3FD-CBD5-4755-872A-77FD0EDB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05"/>
    <w:pPr>
      <w:spacing w:line="256" w:lineRule="auto"/>
    </w:pPr>
    <w:rPr>
      <w:kern w:val="0"/>
      <w14:ligatures w14:val="none"/>
    </w:rPr>
  </w:style>
  <w:style w:type="paragraph" w:styleId="Heading1">
    <w:name w:val="heading 1"/>
    <w:basedOn w:val="Normal"/>
    <w:next w:val="Normal"/>
    <w:link w:val="Heading1Char"/>
    <w:uiPriority w:val="9"/>
    <w:qFormat/>
    <w:rsid w:val="00870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305"/>
    <w:rPr>
      <w:rFonts w:eastAsiaTheme="majorEastAsia" w:cstheme="majorBidi"/>
      <w:color w:val="272727" w:themeColor="text1" w:themeTint="D8"/>
    </w:rPr>
  </w:style>
  <w:style w:type="paragraph" w:styleId="Title">
    <w:name w:val="Title"/>
    <w:basedOn w:val="Normal"/>
    <w:next w:val="Normal"/>
    <w:link w:val="TitleChar"/>
    <w:uiPriority w:val="10"/>
    <w:qFormat/>
    <w:rsid w:val="00870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305"/>
    <w:pPr>
      <w:spacing w:before="160"/>
      <w:jc w:val="center"/>
    </w:pPr>
    <w:rPr>
      <w:i/>
      <w:iCs/>
      <w:color w:val="404040" w:themeColor="text1" w:themeTint="BF"/>
    </w:rPr>
  </w:style>
  <w:style w:type="character" w:customStyle="1" w:styleId="QuoteChar">
    <w:name w:val="Quote Char"/>
    <w:basedOn w:val="DefaultParagraphFont"/>
    <w:link w:val="Quote"/>
    <w:uiPriority w:val="29"/>
    <w:rsid w:val="00870305"/>
    <w:rPr>
      <w:i/>
      <w:iCs/>
      <w:color w:val="404040" w:themeColor="text1" w:themeTint="BF"/>
    </w:rPr>
  </w:style>
  <w:style w:type="paragraph" w:styleId="ListParagraph">
    <w:name w:val="List Paragraph"/>
    <w:basedOn w:val="Normal"/>
    <w:uiPriority w:val="34"/>
    <w:qFormat/>
    <w:rsid w:val="00870305"/>
    <w:pPr>
      <w:ind w:left="720"/>
      <w:contextualSpacing/>
    </w:pPr>
  </w:style>
  <w:style w:type="character" w:styleId="IntenseEmphasis">
    <w:name w:val="Intense Emphasis"/>
    <w:basedOn w:val="DefaultParagraphFont"/>
    <w:uiPriority w:val="21"/>
    <w:qFormat/>
    <w:rsid w:val="00870305"/>
    <w:rPr>
      <w:i/>
      <w:iCs/>
      <w:color w:val="0F4761" w:themeColor="accent1" w:themeShade="BF"/>
    </w:rPr>
  </w:style>
  <w:style w:type="paragraph" w:styleId="IntenseQuote">
    <w:name w:val="Intense Quote"/>
    <w:basedOn w:val="Normal"/>
    <w:next w:val="Normal"/>
    <w:link w:val="IntenseQuoteChar"/>
    <w:uiPriority w:val="30"/>
    <w:qFormat/>
    <w:rsid w:val="00870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305"/>
    <w:rPr>
      <w:i/>
      <w:iCs/>
      <w:color w:val="0F4761" w:themeColor="accent1" w:themeShade="BF"/>
    </w:rPr>
  </w:style>
  <w:style w:type="character" w:styleId="IntenseReference">
    <w:name w:val="Intense Reference"/>
    <w:basedOn w:val="DefaultParagraphFont"/>
    <w:uiPriority w:val="32"/>
    <w:qFormat/>
    <w:rsid w:val="00870305"/>
    <w:rPr>
      <w:b/>
      <w:bCs/>
      <w:smallCaps/>
      <w:color w:val="0F4761" w:themeColor="accent1" w:themeShade="BF"/>
      <w:spacing w:val="5"/>
    </w:rPr>
  </w:style>
  <w:style w:type="character" w:styleId="Hyperlink">
    <w:name w:val="Hyperlink"/>
    <w:basedOn w:val="DefaultParagraphFont"/>
    <w:uiPriority w:val="99"/>
    <w:unhideWhenUsed/>
    <w:rsid w:val="00870305"/>
    <w:rPr>
      <w:color w:val="467886" w:themeColor="hyperlink"/>
      <w:u w:val="single"/>
    </w:rPr>
  </w:style>
  <w:style w:type="table" w:styleId="GridTable4-Accent1">
    <w:name w:val="Grid Table 4 Accent 1"/>
    <w:basedOn w:val="TableNormal"/>
    <w:uiPriority w:val="49"/>
    <w:rsid w:val="00870305"/>
    <w:pPr>
      <w:spacing w:after="0" w:line="240" w:lineRule="auto"/>
    </w:pPr>
    <w:rPr>
      <w:kern w:val="0"/>
      <w14:ligatures w14:val="none"/>
    </w:rPr>
    <w:tblPr>
      <w:tblStyleRowBandSize w:val="1"/>
      <w:tblStyleColBandSize w:val="1"/>
      <w:tblInd w:w="0" w:type="nil"/>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3F3229"/>
    <w:rPr>
      <w:color w:val="605E5C"/>
      <w:shd w:val="clear" w:color="auto" w:fill="E1DFDD"/>
    </w:rPr>
  </w:style>
  <w:style w:type="table" w:styleId="TableGrid">
    <w:name w:val="Table Grid"/>
    <w:basedOn w:val="TableNormal"/>
    <w:uiPriority w:val="39"/>
    <w:rsid w:val="004A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B11"/>
    <w:rPr>
      <w:color w:val="96607D" w:themeColor="followedHyperlink"/>
      <w:u w:val="single"/>
    </w:rPr>
  </w:style>
  <w:style w:type="paragraph" w:styleId="Revision">
    <w:name w:val="Revision"/>
    <w:hidden/>
    <w:uiPriority w:val="99"/>
    <w:semiHidden/>
    <w:rsid w:val="00133D1C"/>
    <w:pPr>
      <w:spacing w:after="0" w:line="240" w:lineRule="auto"/>
    </w:pPr>
    <w:rPr>
      <w:kern w:val="0"/>
      <w14:ligatures w14:val="none"/>
    </w:rPr>
  </w:style>
  <w:style w:type="character" w:styleId="CommentReference">
    <w:name w:val="annotation reference"/>
    <w:basedOn w:val="DefaultParagraphFont"/>
    <w:uiPriority w:val="99"/>
    <w:semiHidden/>
    <w:unhideWhenUsed/>
    <w:rsid w:val="00DD7481"/>
    <w:rPr>
      <w:sz w:val="16"/>
      <w:szCs w:val="16"/>
    </w:rPr>
  </w:style>
  <w:style w:type="paragraph" w:styleId="CommentText">
    <w:name w:val="annotation text"/>
    <w:basedOn w:val="Normal"/>
    <w:link w:val="CommentTextChar"/>
    <w:uiPriority w:val="99"/>
    <w:unhideWhenUsed/>
    <w:rsid w:val="00DD7481"/>
    <w:pPr>
      <w:spacing w:line="240" w:lineRule="auto"/>
    </w:pPr>
    <w:rPr>
      <w:sz w:val="20"/>
      <w:szCs w:val="20"/>
    </w:rPr>
  </w:style>
  <w:style w:type="character" w:customStyle="1" w:styleId="CommentTextChar">
    <w:name w:val="Comment Text Char"/>
    <w:basedOn w:val="DefaultParagraphFont"/>
    <w:link w:val="CommentText"/>
    <w:uiPriority w:val="99"/>
    <w:rsid w:val="00DD74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7481"/>
    <w:rPr>
      <w:b/>
      <w:bCs/>
    </w:rPr>
  </w:style>
  <w:style w:type="character" w:customStyle="1" w:styleId="CommentSubjectChar">
    <w:name w:val="Comment Subject Char"/>
    <w:basedOn w:val="CommentTextChar"/>
    <w:link w:val="CommentSubject"/>
    <w:uiPriority w:val="99"/>
    <w:semiHidden/>
    <w:rsid w:val="00DD7481"/>
    <w:rPr>
      <w:b/>
      <w:bCs/>
      <w:kern w:val="0"/>
      <w:sz w:val="20"/>
      <w:szCs w:val="20"/>
      <w14:ligatures w14:val="none"/>
    </w:rPr>
  </w:style>
  <w:style w:type="paragraph" w:styleId="BalloonText">
    <w:name w:val="Balloon Text"/>
    <w:basedOn w:val="Normal"/>
    <w:link w:val="BalloonTextChar"/>
    <w:uiPriority w:val="99"/>
    <w:semiHidden/>
    <w:unhideWhenUsed/>
    <w:rsid w:val="00DF3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1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cgme.org/globalassets/pdfs/field-activities/updatingads.pdf" TargetMode="External"/><Relationship Id="rId18" Type="http://schemas.openxmlformats.org/officeDocument/2006/relationships/hyperlink" Target="https://www.acgme.org/programs-and-institutions/programs/site-visit/"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acgme.org/initiatives/clinical-learning-environment-review-cler/" TargetMode="External"/><Relationship Id="rId7" Type="http://schemas.openxmlformats.org/officeDocument/2006/relationships/hyperlink" Target="https://www.acgme.org/data-systems-technical-support/resident-fellow-and-faculty-surveys/" TargetMode="External"/><Relationship Id="rId12" Type="http://schemas.openxmlformats.org/officeDocument/2006/relationships/hyperlink" Target="https://www.acgme.org/programs-and-institutions/programs/self-study/" TargetMode="External"/><Relationship Id="rId17" Type="http://schemas.openxmlformats.org/officeDocument/2006/relationships/hyperlink" Target="https://www.acgme.org/data-systems-technical-support/resident-fellow-and-faculty-survey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gme.org/archived-web-pages/program-directors-and-coordinators/welcome/" TargetMode="External"/><Relationship Id="rId20" Type="http://schemas.openxmlformats.org/officeDocument/2006/relationships/hyperlink" Target="https://education.aaaai.org/sites/default/files/Vitalpur.pdf" TargetMode="External"/><Relationship Id="rId1" Type="http://schemas.openxmlformats.org/officeDocument/2006/relationships/numbering" Target="numbering.xml"/><Relationship Id="rId6" Type="http://schemas.openxmlformats.org/officeDocument/2006/relationships/hyperlink" Target="https://apps.acgme.org/connect/login?ReturnUrl=%252fconnect%252f" TargetMode="External"/><Relationship Id="rId11" Type="http://schemas.microsoft.com/office/2018/08/relationships/commentsExtensible" Target="commentsExtensible.xml"/><Relationship Id="rId24" Type="http://schemas.openxmlformats.org/officeDocument/2006/relationships/hyperlink" Target="https://www.acgme.org/initiatives/clinical-learning-environment-review-cler/cler-site-visit/" TargetMode="External"/><Relationship Id="rId5" Type="http://schemas.openxmlformats.org/officeDocument/2006/relationships/hyperlink" Target="https://www.acgme.org/" TargetMode="External"/><Relationship Id="rId15" Type="http://schemas.openxmlformats.org/officeDocument/2006/relationships/hyperlink" Target="https://www.acgme.org/programs-and-institutions/programs/self-study/" TargetMode="External"/><Relationship Id="rId23" Type="http://schemas.openxmlformats.org/officeDocument/2006/relationships/hyperlink" Target="https://www.acgme.org/data-systems-technical-support/resident-fellow-and-faculty-surveys/" TargetMode="External"/><Relationship Id="rId10" Type="http://schemas.microsoft.com/office/2016/09/relationships/commentsIds" Target="commentsIds.xml"/><Relationship Id="rId19" Type="http://schemas.openxmlformats.org/officeDocument/2006/relationships/hyperlink" Target="https://www.utrgv.edu/som/gme/_files/documents/how_to_have_a_successful_acgme_site_visit.pdf"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acgmehelp.acgme.org/hc/en-us/categories/360003129153-Accreditation-Data-System-ADS-" TargetMode="External"/><Relationship Id="rId22" Type="http://schemas.openxmlformats.org/officeDocument/2006/relationships/hyperlink" Target="https://www.acgme.org/globalassets/PFAssets/ProgramResources/THReviewCommitteeStructureandResponsibiliti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Sparrow</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Disbrow, Emily</dc:creator>
  <cp:keywords/>
  <dc:description/>
  <cp:lastModifiedBy>Gellin, Caren</cp:lastModifiedBy>
  <cp:revision>22</cp:revision>
  <dcterms:created xsi:type="dcterms:W3CDTF">2024-02-07T18:04:00Z</dcterms:created>
  <dcterms:modified xsi:type="dcterms:W3CDTF">2024-05-28T18:43:00Z</dcterms:modified>
</cp:coreProperties>
</file>