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DF14" w14:textId="0FBDADD6" w:rsidR="00447A35" w:rsidRPr="00DC4460" w:rsidRDefault="000D0668" w:rsidP="00DC4460">
      <w:pPr>
        <w:spacing w:after="0"/>
        <w:rPr>
          <w:rFonts w:ascii="Cambria" w:hAnsi="Cambria"/>
          <w:b/>
          <w:sz w:val="36"/>
          <w:szCs w:val="28"/>
        </w:rPr>
      </w:pPr>
      <w:r>
        <w:rPr>
          <w:rFonts w:ascii="Cambria" w:hAnsi="Cambria"/>
          <w:b/>
          <w:sz w:val="36"/>
          <w:szCs w:val="28"/>
        </w:rPr>
        <w:t>Residents and the American Academy of Pediatrics (AAP)</w:t>
      </w:r>
    </w:p>
    <w:p w14:paraId="1EEED441" w14:textId="129DFFCE" w:rsidR="00CE629B" w:rsidRDefault="000D0668" w:rsidP="00DC4460">
      <w:pPr>
        <w:spacing w:after="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>Aaron R. Shedlock, MD and Sara Multerer, MD</w:t>
      </w:r>
    </w:p>
    <w:p w14:paraId="13417446" w14:textId="3E854172" w:rsidR="00CE629B" w:rsidRDefault="00CE629B" w:rsidP="00DC4460">
      <w:pPr>
        <w:spacing w:after="0"/>
        <w:rPr>
          <w:rFonts w:ascii="Cambria" w:hAnsi="Cambria"/>
          <w:sz w:val="24"/>
          <w:szCs w:val="28"/>
        </w:rPr>
      </w:pPr>
      <w:r w:rsidRPr="0076251F">
        <w:rPr>
          <w:rFonts w:ascii="Cambria" w:hAnsi="Cambria"/>
        </w:rPr>
        <w:t>Edited by</w:t>
      </w:r>
      <w:r>
        <w:rPr>
          <w:rFonts w:ascii="Cambria" w:hAnsi="Cambria"/>
        </w:rPr>
        <w:t xml:space="preserve"> Rebecca Wallihan, MD and Elizabeth Nelson, MD</w:t>
      </w:r>
    </w:p>
    <w:p w14:paraId="6ED21B45" w14:textId="77777777" w:rsidR="00DC4460" w:rsidRPr="00DC4460" w:rsidRDefault="00DC4460" w:rsidP="00DC4460">
      <w:pPr>
        <w:spacing w:after="0"/>
        <w:rPr>
          <w:rFonts w:ascii="Cambria" w:hAnsi="Cambria"/>
        </w:rPr>
      </w:pPr>
    </w:p>
    <w:p w14:paraId="0D6D0D2C" w14:textId="77777777" w:rsidR="00DC4460" w:rsidRPr="007C1A9B" w:rsidRDefault="00DC4460" w:rsidP="00DC4460">
      <w:pPr>
        <w:spacing w:after="0"/>
        <w:rPr>
          <w:rFonts w:ascii="Cambria" w:hAnsi="Cambria"/>
          <w:color w:val="0070C0"/>
          <w:sz w:val="28"/>
          <w:szCs w:val="28"/>
        </w:rPr>
      </w:pPr>
      <w:r w:rsidRPr="007C1A9B">
        <w:rPr>
          <w:rFonts w:ascii="Cambria" w:hAnsi="Cambria"/>
          <w:color w:val="0070C0"/>
          <w:sz w:val="28"/>
          <w:szCs w:val="28"/>
        </w:rPr>
        <w:t>Intro</w:t>
      </w:r>
      <w:r w:rsidR="007C1A9B" w:rsidRPr="007C1A9B">
        <w:rPr>
          <w:rFonts w:ascii="Cambria" w:hAnsi="Cambria"/>
          <w:color w:val="0070C0"/>
          <w:sz w:val="28"/>
          <w:szCs w:val="28"/>
        </w:rPr>
        <w:t>duction</w:t>
      </w:r>
    </w:p>
    <w:p w14:paraId="2027C0CB" w14:textId="3E93F4F1" w:rsidR="000D0668" w:rsidRDefault="000D0668" w:rsidP="73D33A9C">
      <w:pPr>
        <w:spacing w:after="0"/>
        <w:rPr>
          <w:rFonts w:ascii="Cambria" w:hAnsi="Cambria"/>
          <w:u w:val="single"/>
        </w:rPr>
      </w:pPr>
    </w:p>
    <w:p w14:paraId="3CE42A9D" w14:textId="7827F5DE" w:rsidR="000D0668" w:rsidRPr="00DC4460" w:rsidRDefault="000D0668" w:rsidP="73D33A9C">
      <w:pPr>
        <w:spacing w:after="0"/>
      </w:pPr>
      <w:r w:rsidRPr="73D33A9C">
        <w:t>The American Academy of Pediatrics (AAP) is the core organization that unites</w:t>
      </w:r>
      <w:r w:rsidR="000C06C4">
        <w:t xml:space="preserve"> current, former, and future</w:t>
      </w:r>
      <w:r w:rsidRPr="73D33A9C">
        <w:t xml:space="preserve"> pediatricians all over the country regardless of their practice type or specialty. This organization provides a wealth of knowledge, education, resources, advocacy, and support “dedicated to the health of all children.” As members, trainees </w:t>
      </w:r>
      <w:r w:rsidR="00E45A2B">
        <w:t>will</w:t>
      </w:r>
      <w:r w:rsidR="00E45A2B" w:rsidRPr="73D33A9C">
        <w:t xml:space="preserve"> </w:t>
      </w:r>
      <w:r w:rsidRPr="73D33A9C">
        <w:t xml:space="preserve">benefit from numerous clinical materials, </w:t>
      </w:r>
      <w:r w:rsidR="00E00B95" w:rsidRPr="73D33A9C">
        <w:t xml:space="preserve">journals, </w:t>
      </w:r>
      <w:r w:rsidRPr="73D33A9C">
        <w:t>guidelines, quality improvement training</w:t>
      </w:r>
      <w:r w:rsidR="00E00B95" w:rsidRPr="73D33A9C">
        <w:t xml:space="preserve"> resources</w:t>
      </w:r>
      <w:r w:rsidRPr="73D33A9C">
        <w:t xml:space="preserve">, </w:t>
      </w:r>
      <w:r w:rsidR="00E00B95" w:rsidRPr="73D33A9C">
        <w:t xml:space="preserve">educational courses, board review questions, </w:t>
      </w:r>
      <w:r w:rsidR="0062176B" w:rsidRPr="73D33A9C">
        <w:t xml:space="preserve">and scholarships available to further their training and set the stage for a successful future career in partnership with the AAP. </w:t>
      </w:r>
    </w:p>
    <w:p w14:paraId="5536EF05" w14:textId="77777777" w:rsidR="00DC4460" w:rsidRDefault="00DC4460" w:rsidP="00DC4460">
      <w:pPr>
        <w:spacing w:after="0"/>
        <w:rPr>
          <w:rFonts w:ascii="Cambria" w:hAnsi="Cambria"/>
        </w:rPr>
      </w:pPr>
    </w:p>
    <w:p w14:paraId="06131FAE" w14:textId="13D1A7C9" w:rsidR="00EB72E0" w:rsidRDefault="49F347B4" w:rsidP="73D33A9C">
      <w:pPr>
        <w:spacing w:after="0"/>
        <w:rPr>
          <w:rFonts w:ascii="Cambria" w:hAnsi="Cambria"/>
          <w:color w:val="0070C0"/>
          <w:sz w:val="28"/>
          <w:szCs w:val="28"/>
        </w:rPr>
      </w:pPr>
      <w:r w:rsidRPr="73D33A9C">
        <w:rPr>
          <w:rFonts w:ascii="Cambria" w:hAnsi="Cambria"/>
          <w:color w:val="0070C0"/>
          <w:sz w:val="28"/>
          <w:szCs w:val="28"/>
        </w:rPr>
        <w:t>Resident Membership</w:t>
      </w:r>
    </w:p>
    <w:p w14:paraId="6D1E8CC7" w14:textId="77777777" w:rsidR="003015DF" w:rsidRDefault="003015DF" w:rsidP="73D33A9C">
      <w:pPr>
        <w:spacing w:after="0"/>
        <w:rPr>
          <w:rFonts w:ascii="Cambria" w:hAnsi="Cambria"/>
          <w:u w:val="single"/>
        </w:rPr>
      </w:pPr>
    </w:p>
    <w:p w14:paraId="65A846DD" w14:textId="301032D2" w:rsidR="00EB72E0" w:rsidRDefault="1A83A478" w:rsidP="73D33A9C">
      <w:pPr>
        <w:spacing w:after="0"/>
        <w:rPr>
          <w:rFonts w:eastAsiaTheme="minorEastAsia"/>
        </w:rPr>
      </w:pPr>
      <w:r w:rsidRPr="73D33A9C">
        <w:rPr>
          <w:rFonts w:eastAsiaTheme="minorEastAsia"/>
        </w:rPr>
        <w:t>Pediatric r</w:t>
      </w:r>
      <w:r w:rsidR="2750D140" w:rsidRPr="73D33A9C">
        <w:rPr>
          <w:rFonts w:eastAsiaTheme="minorEastAsia"/>
        </w:rPr>
        <w:t xml:space="preserve">esidents and fellows can join the AAP at a reduced rate. </w:t>
      </w:r>
      <w:r w:rsidR="663C5CB9" w:rsidRPr="73D33A9C">
        <w:rPr>
          <w:rFonts w:eastAsiaTheme="minorEastAsia"/>
        </w:rPr>
        <w:t>T</w:t>
      </w:r>
      <w:r w:rsidR="2750D140" w:rsidRPr="73D33A9C">
        <w:rPr>
          <w:rFonts w:eastAsiaTheme="minorEastAsia"/>
        </w:rPr>
        <w:t>o qualify for the “in-training” membership</w:t>
      </w:r>
      <w:r w:rsidR="6161BD77" w:rsidRPr="73D33A9C">
        <w:rPr>
          <w:rFonts w:eastAsiaTheme="minorEastAsia"/>
        </w:rPr>
        <w:t xml:space="preserve"> rate</w:t>
      </w:r>
      <w:r w:rsidR="2750D140" w:rsidRPr="73D33A9C">
        <w:rPr>
          <w:rFonts w:eastAsiaTheme="minorEastAsia"/>
        </w:rPr>
        <w:t xml:space="preserve">, individuals must be </w:t>
      </w:r>
      <w:r w:rsidR="2D333582" w:rsidRPr="73D33A9C">
        <w:rPr>
          <w:rFonts w:eastAsiaTheme="minorEastAsia"/>
        </w:rPr>
        <w:t xml:space="preserve">enrolled in an ACGME-accredited training program. </w:t>
      </w:r>
      <w:r w:rsidR="1F43C63F" w:rsidRPr="73D33A9C">
        <w:rPr>
          <w:rFonts w:eastAsiaTheme="minorEastAsia"/>
        </w:rPr>
        <w:t>As AAP members, residents have</w:t>
      </w:r>
      <w:r w:rsidR="00892EFD">
        <w:rPr>
          <w:rFonts w:eastAsiaTheme="minorEastAsia"/>
        </w:rPr>
        <w:t xml:space="preserve"> free</w:t>
      </w:r>
      <w:r w:rsidR="1F43C63F" w:rsidRPr="73D33A9C">
        <w:rPr>
          <w:rFonts w:eastAsiaTheme="minorEastAsia"/>
        </w:rPr>
        <w:t xml:space="preserve"> access to many benefits</w:t>
      </w:r>
      <w:r w:rsidR="335C400C" w:rsidRPr="73D33A9C">
        <w:rPr>
          <w:rFonts w:eastAsiaTheme="minorEastAsia"/>
        </w:rPr>
        <w:t xml:space="preserve"> including: learning tools</w:t>
      </w:r>
      <w:r w:rsidR="1F43C63F" w:rsidRPr="73D33A9C">
        <w:rPr>
          <w:rFonts w:eastAsiaTheme="minorEastAsia"/>
        </w:rPr>
        <w:t xml:space="preserve"> such as PREP</w:t>
      </w:r>
      <w:r w:rsidR="006911E0">
        <w:rPr>
          <w:rFonts w:eastAsiaTheme="minorEastAsia"/>
        </w:rPr>
        <w:t xml:space="preserve"> (</w:t>
      </w:r>
      <w:r w:rsidR="006911E0">
        <w:rPr>
          <w:rFonts w:cstheme="minorHAnsi"/>
        </w:rPr>
        <w:t>Pediatrics Review and Education Program)</w:t>
      </w:r>
      <w:r w:rsidR="1F43C63F" w:rsidRPr="73D33A9C">
        <w:rPr>
          <w:rFonts w:eastAsiaTheme="minorEastAsia"/>
        </w:rPr>
        <w:t xml:space="preserve"> The Curriculum Self-Assessment</w:t>
      </w:r>
      <w:r w:rsidR="00E43881">
        <w:rPr>
          <w:rFonts w:eastAsiaTheme="minorEastAsia"/>
        </w:rPr>
        <w:t xml:space="preserve">, </w:t>
      </w:r>
      <w:hyperlink r:id="rId6" w:history="1">
        <w:r w:rsidR="00E43881" w:rsidRPr="00241477">
          <w:rPr>
            <w:rStyle w:val="Hyperlink"/>
            <w:i/>
          </w:rPr>
          <w:t>AAP Grand Rounds</w:t>
        </w:r>
      </w:hyperlink>
      <w:r w:rsidR="00E43881">
        <w:rPr>
          <w:rFonts w:eastAsiaTheme="minorEastAsia"/>
        </w:rPr>
        <w:t>,</w:t>
      </w:r>
      <w:r w:rsidR="1F43C63F" w:rsidRPr="73D33A9C">
        <w:rPr>
          <w:rFonts w:eastAsiaTheme="minorEastAsia"/>
        </w:rPr>
        <w:t xml:space="preserve"> </w:t>
      </w:r>
      <w:r w:rsidR="00867071">
        <w:rPr>
          <w:rFonts w:eastAsiaTheme="minorEastAsia"/>
        </w:rPr>
        <w:t>and</w:t>
      </w:r>
      <w:r w:rsidR="1F43C63F" w:rsidRPr="73D33A9C">
        <w:rPr>
          <w:rFonts w:eastAsiaTheme="minorEastAsia"/>
        </w:rPr>
        <w:t xml:space="preserve"> </w:t>
      </w:r>
      <w:hyperlink r:id="rId7" w:history="1">
        <w:r w:rsidR="1F43C63F" w:rsidRPr="00892EFD">
          <w:rPr>
            <w:rStyle w:val="Hyperlink"/>
            <w:rFonts w:eastAsiaTheme="minorEastAsia"/>
            <w:i/>
            <w:iCs/>
          </w:rPr>
          <w:t>Ped</w:t>
        </w:r>
        <w:r w:rsidR="39C2D670" w:rsidRPr="00892EFD">
          <w:rPr>
            <w:rStyle w:val="Hyperlink"/>
            <w:rFonts w:eastAsiaTheme="minorEastAsia"/>
            <w:i/>
            <w:iCs/>
          </w:rPr>
          <w:t>iatrics in Review</w:t>
        </w:r>
      </w:hyperlink>
      <w:r w:rsidR="39C2D670" w:rsidRPr="73D33A9C">
        <w:rPr>
          <w:rFonts w:eastAsiaTheme="minorEastAsia"/>
        </w:rPr>
        <w:t xml:space="preserve">; </w:t>
      </w:r>
      <w:r w:rsidR="00E43881">
        <w:rPr>
          <w:rFonts w:eastAsiaTheme="minorEastAsia"/>
        </w:rPr>
        <w:t xml:space="preserve">journals such as </w:t>
      </w:r>
      <w:hyperlink r:id="rId8" w:history="1">
        <w:r w:rsidR="00E43881" w:rsidRPr="00241477">
          <w:rPr>
            <w:rStyle w:val="Hyperlink"/>
            <w:i/>
          </w:rPr>
          <w:t>Pediatrics</w:t>
        </w:r>
      </w:hyperlink>
      <w:r w:rsidR="006911E0">
        <w:rPr>
          <w:rFonts w:eastAsiaTheme="minorEastAsia"/>
        </w:rPr>
        <w:t>;</w:t>
      </w:r>
      <w:r w:rsidR="00E43881">
        <w:rPr>
          <w:rFonts w:eastAsiaTheme="minorEastAsia"/>
        </w:rPr>
        <w:t xml:space="preserve"> textbooks such as the </w:t>
      </w:r>
      <w:hyperlink r:id="rId9" w:history="1">
        <w:r w:rsidR="00E43881" w:rsidRPr="00241477">
          <w:rPr>
            <w:rStyle w:val="Hyperlink"/>
            <w:i/>
          </w:rPr>
          <w:t>Red Book</w:t>
        </w:r>
      </w:hyperlink>
      <w:r w:rsidR="006911E0">
        <w:rPr>
          <w:rFonts w:eastAsiaTheme="minorEastAsia"/>
        </w:rPr>
        <w:t>;</w:t>
      </w:r>
      <w:r w:rsidR="00E43881">
        <w:rPr>
          <w:rFonts w:eastAsiaTheme="minorEastAsia"/>
        </w:rPr>
        <w:t xml:space="preserve"> </w:t>
      </w:r>
      <w:r w:rsidR="318F70F7" w:rsidRPr="73D33A9C">
        <w:rPr>
          <w:rFonts w:eastAsiaTheme="minorEastAsia"/>
        </w:rPr>
        <w:t xml:space="preserve">advocacy tools such as the Advocacy Action Center; opportunities for section, council, or committee participation; </w:t>
      </w:r>
      <w:r w:rsidR="686E6034" w:rsidRPr="73D33A9C">
        <w:rPr>
          <w:rFonts w:eastAsiaTheme="minorEastAsia"/>
        </w:rPr>
        <w:t>and savings programs</w:t>
      </w:r>
      <w:r w:rsidR="00867071">
        <w:rPr>
          <w:rFonts w:eastAsiaTheme="minorEastAsia"/>
        </w:rPr>
        <w:t>,</w:t>
      </w:r>
      <w:r w:rsidR="686E6034" w:rsidRPr="73D33A9C">
        <w:rPr>
          <w:rFonts w:eastAsiaTheme="minorEastAsia"/>
        </w:rPr>
        <w:t xml:space="preserve"> such as loan consolidation.</w:t>
      </w:r>
      <w:r w:rsidR="00A453D8">
        <w:rPr>
          <w:rFonts w:eastAsiaTheme="minorEastAsia"/>
        </w:rPr>
        <w:t xml:space="preserve"> There are many additional benefits typically offered by AAP local chapters as well.</w:t>
      </w:r>
      <w:r w:rsidR="686E6034" w:rsidRPr="73D33A9C">
        <w:rPr>
          <w:rFonts w:eastAsiaTheme="minorEastAsia"/>
        </w:rPr>
        <w:t xml:space="preserve"> A full list of resident</w:t>
      </w:r>
      <w:r w:rsidR="7E08E809" w:rsidRPr="73D33A9C">
        <w:rPr>
          <w:rFonts w:eastAsiaTheme="minorEastAsia"/>
        </w:rPr>
        <w:t xml:space="preserve"> and fellow</w:t>
      </w:r>
      <w:r w:rsidR="686E6034" w:rsidRPr="73D33A9C">
        <w:rPr>
          <w:rFonts w:eastAsiaTheme="minorEastAsia"/>
        </w:rPr>
        <w:t xml:space="preserve"> benefits can be found </w:t>
      </w:r>
      <w:hyperlink r:id="rId10">
        <w:r w:rsidR="686E6034" w:rsidRPr="73D33A9C">
          <w:rPr>
            <w:rStyle w:val="Hyperlink"/>
            <w:rFonts w:eastAsiaTheme="minorEastAsia"/>
          </w:rPr>
          <w:t>here</w:t>
        </w:r>
      </w:hyperlink>
      <w:r w:rsidR="686E6034" w:rsidRPr="73D33A9C">
        <w:rPr>
          <w:rFonts w:eastAsiaTheme="minorEastAsia"/>
        </w:rPr>
        <w:t>.</w:t>
      </w:r>
    </w:p>
    <w:p w14:paraId="0F6567A8" w14:textId="22D6B0E0" w:rsidR="00EB72E0" w:rsidRDefault="00EB72E0" w:rsidP="73D33A9C">
      <w:pPr>
        <w:spacing w:after="0"/>
        <w:rPr>
          <w:rFonts w:eastAsiaTheme="minorEastAsia"/>
        </w:rPr>
      </w:pPr>
    </w:p>
    <w:p w14:paraId="52CBC1EA" w14:textId="0BF926AF" w:rsidR="00EB72E0" w:rsidRDefault="1F43C63F" w:rsidP="73D33A9C">
      <w:pPr>
        <w:spacing w:after="0"/>
        <w:rPr>
          <w:rFonts w:eastAsiaTheme="minorEastAsia"/>
        </w:rPr>
      </w:pPr>
      <w:r w:rsidRPr="73D33A9C">
        <w:rPr>
          <w:rFonts w:eastAsiaTheme="minorEastAsia"/>
        </w:rPr>
        <w:t>Residents</w:t>
      </w:r>
      <w:r w:rsidR="59CDB4A2" w:rsidRPr="73D33A9C">
        <w:rPr>
          <w:rFonts w:eastAsiaTheme="minorEastAsia"/>
        </w:rPr>
        <w:t xml:space="preserve"> and fellows</w:t>
      </w:r>
      <w:r w:rsidRPr="73D33A9C">
        <w:rPr>
          <w:rFonts w:eastAsiaTheme="minorEastAsia"/>
        </w:rPr>
        <w:t xml:space="preserve"> can join as individuals or, if the program has resources to pay for </w:t>
      </w:r>
      <w:r w:rsidR="4614E8DA" w:rsidRPr="73D33A9C">
        <w:rPr>
          <w:rFonts w:eastAsiaTheme="minorEastAsia"/>
        </w:rPr>
        <w:t>trainee</w:t>
      </w:r>
      <w:r w:rsidRPr="73D33A9C">
        <w:rPr>
          <w:rFonts w:eastAsiaTheme="minorEastAsia"/>
        </w:rPr>
        <w:t xml:space="preserve"> memberships,</w:t>
      </w:r>
      <w:r w:rsidR="65BF8E5D" w:rsidRPr="73D33A9C">
        <w:rPr>
          <w:rFonts w:eastAsiaTheme="minorEastAsia"/>
        </w:rPr>
        <w:t xml:space="preserve"> a program can become a “</w:t>
      </w:r>
      <w:hyperlink r:id="rId11">
        <w:r w:rsidR="65BF8E5D" w:rsidRPr="73D33A9C">
          <w:rPr>
            <w:rStyle w:val="Hyperlink"/>
            <w:rFonts w:eastAsiaTheme="minorEastAsia"/>
          </w:rPr>
          <w:t>Dues Sponsoring Organization</w:t>
        </w:r>
      </w:hyperlink>
      <w:r w:rsidR="65BF8E5D" w:rsidRPr="73D33A9C">
        <w:rPr>
          <w:rFonts w:eastAsiaTheme="minorEastAsia"/>
        </w:rPr>
        <w:t xml:space="preserve">.” </w:t>
      </w:r>
      <w:r w:rsidR="0A4C6757" w:rsidRPr="73D33A9C">
        <w:rPr>
          <w:rFonts w:eastAsiaTheme="minorEastAsia"/>
        </w:rPr>
        <w:t xml:space="preserve"> </w:t>
      </w:r>
      <w:r w:rsidR="29AAFDF0" w:rsidRPr="73D33A9C">
        <w:rPr>
          <w:rFonts w:eastAsiaTheme="minorEastAsia"/>
        </w:rPr>
        <w:t>This set up allows programs to create memberships for their trainees in bulk</w:t>
      </w:r>
      <w:r w:rsidR="503AEF99" w:rsidRPr="73D33A9C">
        <w:rPr>
          <w:rFonts w:eastAsiaTheme="minorEastAsia"/>
        </w:rPr>
        <w:t xml:space="preserve"> and have access to program views of resident </w:t>
      </w:r>
      <w:r w:rsidR="47C6C7B8" w:rsidRPr="73D33A9C">
        <w:rPr>
          <w:rFonts w:eastAsiaTheme="minorEastAsia"/>
        </w:rPr>
        <w:t xml:space="preserve">participation in AAP learning activities such </w:t>
      </w:r>
      <w:r w:rsidR="503AEF99" w:rsidRPr="73D33A9C">
        <w:rPr>
          <w:rFonts w:eastAsiaTheme="minorEastAsia"/>
        </w:rPr>
        <w:t>PREP or Individualized Learning Plan</w:t>
      </w:r>
      <w:r w:rsidR="48CB2121" w:rsidRPr="73D33A9C">
        <w:rPr>
          <w:rFonts w:eastAsiaTheme="minorEastAsia"/>
        </w:rPr>
        <w:t>s</w:t>
      </w:r>
      <w:r w:rsidR="003015DF">
        <w:rPr>
          <w:rFonts w:eastAsiaTheme="minorEastAsia"/>
        </w:rPr>
        <w:t xml:space="preserve"> </w:t>
      </w:r>
      <w:r w:rsidR="503AEF99" w:rsidRPr="73D33A9C">
        <w:rPr>
          <w:rFonts w:eastAsiaTheme="minorEastAsia"/>
        </w:rPr>
        <w:t>(ILP) (see the Pedia</w:t>
      </w:r>
      <w:r w:rsidR="003015DF">
        <w:rPr>
          <w:rFonts w:eastAsiaTheme="minorEastAsia"/>
        </w:rPr>
        <w:t>L</w:t>
      </w:r>
      <w:r w:rsidR="503AEF99" w:rsidRPr="73D33A9C">
        <w:rPr>
          <w:rFonts w:eastAsiaTheme="minorEastAsia"/>
        </w:rPr>
        <w:t>ink section below)</w:t>
      </w:r>
      <w:r w:rsidR="29AAFDF0" w:rsidRPr="73D33A9C">
        <w:rPr>
          <w:rFonts w:eastAsiaTheme="minorEastAsia"/>
        </w:rPr>
        <w:t xml:space="preserve">. </w:t>
      </w:r>
      <w:r w:rsidR="003015DF">
        <w:rPr>
          <w:rFonts w:eastAsiaTheme="minorEastAsia"/>
        </w:rPr>
        <w:t xml:space="preserve">Enrollment of new resident memberships </w:t>
      </w:r>
      <w:r w:rsidR="55812203" w:rsidRPr="73D33A9C">
        <w:rPr>
          <w:rFonts w:eastAsiaTheme="minorEastAsia"/>
        </w:rPr>
        <w:t xml:space="preserve">usually starts in the </w:t>
      </w:r>
      <w:r w:rsidR="0045159E" w:rsidRPr="73D33A9C">
        <w:rPr>
          <w:rFonts w:eastAsiaTheme="minorEastAsia"/>
        </w:rPr>
        <w:t>spring</w:t>
      </w:r>
      <w:r w:rsidR="55812203" w:rsidRPr="73D33A9C">
        <w:rPr>
          <w:rFonts w:eastAsiaTheme="minorEastAsia"/>
        </w:rPr>
        <w:t>, shortly after Match</w:t>
      </w:r>
      <w:r w:rsidR="416ECBBC" w:rsidRPr="73D33A9C">
        <w:rPr>
          <w:rFonts w:eastAsiaTheme="minorEastAsia"/>
        </w:rPr>
        <w:t xml:space="preserve"> </w:t>
      </w:r>
      <w:r w:rsidR="56A185FD" w:rsidRPr="73D33A9C">
        <w:rPr>
          <w:rFonts w:eastAsiaTheme="minorEastAsia"/>
        </w:rPr>
        <w:t>D</w:t>
      </w:r>
      <w:r w:rsidR="55812203" w:rsidRPr="73D33A9C">
        <w:rPr>
          <w:rFonts w:eastAsiaTheme="minorEastAsia"/>
        </w:rPr>
        <w:t xml:space="preserve">ay. Dues </w:t>
      </w:r>
      <w:r w:rsidR="116FAA42" w:rsidRPr="73D33A9C">
        <w:rPr>
          <w:rFonts w:eastAsiaTheme="minorEastAsia"/>
        </w:rPr>
        <w:t xml:space="preserve">are typically due in early </w:t>
      </w:r>
      <w:r w:rsidR="00E45A2B" w:rsidRPr="73D33A9C">
        <w:rPr>
          <w:rFonts w:eastAsiaTheme="minorEastAsia"/>
        </w:rPr>
        <w:t>summer before</w:t>
      </w:r>
      <w:r w:rsidR="116FAA42" w:rsidRPr="73D33A9C">
        <w:rPr>
          <w:rFonts w:eastAsiaTheme="minorEastAsia"/>
        </w:rPr>
        <w:t xml:space="preserve"> July 1</w:t>
      </w:r>
      <w:r w:rsidR="116FAA42" w:rsidRPr="73D33A9C">
        <w:rPr>
          <w:rFonts w:eastAsiaTheme="minorEastAsia"/>
          <w:vertAlign w:val="superscript"/>
        </w:rPr>
        <w:t>st</w:t>
      </w:r>
      <w:r w:rsidR="003015DF">
        <w:rPr>
          <w:rFonts w:eastAsiaTheme="minorEastAsia"/>
        </w:rPr>
        <w:t>.</w:t>
      </w:r>
    </w:p>
    <w:p w14:paraId="208B2DBE" w14:textId="487FB48F" w:rsidR="00EB72E0" w:rsidRDefault="00EB72E0" w:rsidP="73D33A9C">
      <w:pPr>
        <w:spacing w:after="0"/>
        <w:rPr>
          <w:rFonts w:eastAsiaTheme="minorEastAsia"/>
        </w:rPr>
      </w:pPr>
    </w:p>
    <w:p w14:paraId="65DF28BA" w14:textId="11B8923B" w:rsidR="00867071" w:rsidRPr="00000A27" w:rsidRDefault="00867071" w:rsidP="73D33A9C">
      <w:pPr>
        <w:spacing w:after="0"/>
        <w:rPr>
          <w:rFonts w:eastAsiaTheme="minorEastAsia"/>
          <w:b/>
          <w:bCs/>
        </w:rPr>
      </w:pPr>
      <w:r w:rsidRPr="00000A27">
        <w:rPr>
          <w:rFonts w:eastAsiaTheme="minorEastAsia"/>
          <w:b/>
          <w:bCs/>
        </w:rPr>
        <w:t>Additional Membership Benefits for Residents:</w:t>
      </w:r>
    </w:p>
    <w:p w14:paraId="21138089" w14:textId="77777777" w:rsidR="00867071" w:rsidRPr="00000A27" w:rsidRDefault="00867071" w:rsidP="73D33A9C">
      <w:pPr>
        <w:spacing w:after="0"/>
        <w:rPr>
          <w:rFonts w:eastAsiaTheme="minorEastAsia"/>
          <w:b/>
          <w:bCs/>
          <w:u w:val="single"/>
        </w:rPr>
      </w:pPr>
    </w:p>
    <w:p w14:paraId="3A3431A7" w14:textId="732CF9DE" w:rsidR="00EB72E0" w:rsidRDefault="1075A66E" w:rsidP="73D33A9C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73D33A9C">
        <w:rPr>
          <w:rFonts w:eastAsiaTheme="minorEastAsia"/>
          <w:u w:val="single"/>
        </w:rPr>
        <w:t>S</w:t>
      </w:r>
      <w:r w:rsidR="1C0E78EE" w:rsidRPr="73D33A9C">
        <w:rPr>
          <w:rFonts w:eastAsiaTheme="minorEastAsia"/>
          <w:u w:val="single"/>
        </w:rPr>
        <w:t xml:space="preserve">ection </w:t>
      </w:r>
      <w:r w:rsidR="4F31B785" w:rsidRPr="73D33A9C">
        <w:rPr>
          <w:rFonts w:eastAsiaTheme="minorEastAsia"/>
          <w:u w:val="single"/>
        </w:rPr>
        <w:t xml:space="preserve">on </w:t>
      </w:r>
      <w:r w:rsidRPr="73D33A9C">
        <w:rPr>
          <w:rFonts w:eastAsiaTheme="minorEastAsia"/>
          <w:u w:val="single"/>
        </w:rPr>
        <w:t>P</w:t>
      </w:r>
      <w:r w:rsidR="5F6B8C7E" w:rsidRPr="73D33A9C">
        <w:rPr>
          <w:rFonts w:eastAsiaTheme="minorEastAsia"/>
          <w:u w:val="single"/>
        </w:rPr>
        <w:t xml:space="preserve">ediatric </w:t>
      </w:r>
      <w:r w:rsidRPr="73D33A9C">
        <w:rPr>
          <w:rFonts w:eastAsiaTheme="minorEastAsia"/>
          <w:u w:val="single"/>
        </w:rPr>
        <w:t>T</w:t>
      </w:r>
      <w:r w:rsidR="5A11175A" w:rsidRPr="73D33A9C">
        <w:rPr>
          <w:rFonts w:eastAsiaTheme="minorEastAsia"/>
          <w:u w:val="single"/>
        </w:rPr>
        <w:t>rainees</w:t>
      </w:r>
      <w:r w:rsidR="003015DF">
        <w:rPr>
          <w:rFonts w:eastAsiaTheme="minorEastAsia"/>
          <w:u w:val="single"/>
        </w:rPr>
        <w:t xml:space="preserve"> </w:t>
      </w:r>
      <w:r w:rsidR="5A11175A" w:rsidRPr="73D33A9C">
        <w:rPr>
          <w:rFonts w:eastAsiaTheme="minorEastAsia"/>
        </w:rPr>
        <w:t>(</w:t>
      </w:r>
      <w:hyperlink r:id="rId12">
        <w:r w:rsidR="5A11175A" w:rsidRPr="73D33A9C">
          <w:rPr>
            <w:rStyle w:val="Hyperlink"/>
            <w:rFonts w:eastAsiaTheme="minorEastAsia"/>
          </w:rPr>
          <w:t>SOPT</w:t>
        </w:r>
      </w:hyperlink>
      <w:r w:rsidR="5A11175A" w:rsidRPr="73D33A9C">
        <w:rPr>
          <w:rFonts w:eastAsiaTheme="minorEastAsia"/>
        </w:rPr>
        <w:t>)</w:t>
      </w:r>
      <w:r w:rsidR="346FAF7C" w:rsidRPr="73D33A9C">
        <w:rPr>
          <w:rFonts w:eastAsiaTheme="minorEastAsia"/>
        </w:rPr>
        <w:t>: This section of the AAP is the home base for medical students, residents, and fellows</w:t>
      </w:r>
      <w:r w:rsidR="7BA40D70" w:rsidRPr="73D33A9C">
        <w:rPr>
          <w:rFonts w:eastAsiaTheme="minorEastAsia"/>
        </w:rPr>
        <w:t xml:space="preserve"> and offers many opportunities for trainees to become advocates and leaders. </w:t>
      </w:r>
      <w:r w:rsidR="14F91915" w:rsidRPr="73D33A9C">
        <w:rPr>
          <w:rFonts w:eastAsiaTheme="minorEastAsia"/>
        </w:rPr>
        <w:t>This section offers funding and grants (see the Grants and Scholarships section) a</w:t>
      </w:r>
      <w:r w:rsidR="499D585E" w:rsidRPr="73D33A9C">
        <w:rPr>
          <w:rFonts w:eastAsiaTheme="minorEastAsia"/>
        </w:rPr>
        <w:t>nd</w:t>
      </w:r>
      <w:r w:rsidR="14F91915" w:rsidRPr="73D33A9C">
        <w:rPr>
          <w:rFonts w:eastAsiaTheme="minorEastAsia"/>
        </w:rPr>
        <w:t xml:space="preserve"> </w:t>
      </w:r>
      <w:r w:rsidR="777EC30E" w:rsidRPr="73D33A9C">
        <w:rPr>
          <w:rFonts w:eastAsiaTheme="minorEastAsia"/>
        </w:rPr>
        <w:t xml:space="preserve">leadership </w:t>
      </w:r>
      <w:r w:rsidR="14F91915" w:rsidRPr="73D33A9C">
        <w:rPr>
          <w:rFonts w:eastAsiaTheme="minorEastAsia"/>
        </w:rPr>
        <w:t xml:space="preserve">positions </w:t>
      </w:r>
      <w:r w:rsidR="25B44D6E" w:rsidRPr="73D33A9C">
        <w:rPr>
          <w:rFonts w:eastAsiaTheme="minorEastAsia"/>
        </w:rPr>
        <w:t>at</w:t>
      </w:r>
      <w:r w:rsidR="14F91915" w:rsidRPr="73D33A9C">
        <w:rPr>
          <w:rFonts w:eastAsiaTheme="minorEastAsia"/>
        </w:rPr>
        <w:t xml:space="preserve"> both </w:t>
      </w:r>
      <w:r w:rsidR="3352F7A7" w:rsidRPr="73D33A9C">
        <w:rPr>
          <w:rFonts w:eastAsiaTheme="minorEastAsia"/>
        </w:rPr>
        <w:t xml:space="preserve">the </w:t>
      </w:r>
      <w:r w:rsidR="14F91915" w:rsidRPr="73D33A9C">
        <w:rPr>
          <w:rFonts w:eastAsiaTheme="minorEastAsia"/>
        </w:rPr>
        <w:t>district and national le</w:t>
      </w:r>
      <w:r w:rsidR="5D691D00" w:rsidRPr="73D33A9C">
        <w:rPr>
          <w:rFonts w:eastAsiaTheme="minorEastAsia"/>
        </w:rPr>
        <w:t>vel</w:t>
      </w:r>
      <w:r w:rsidR="14F91915" w:rsidRPr="73D33A9C">
        <w:rPr>
          <w:rFonts w:eastAsiaTheme="minorEastAsia"/>
        </w:rPr>
        <w:t>. Residen</w:t>
      </w:r>
      <w:r w:rsidR="4E389BC8" w:rsidRPr="73D33A9C">
        <w:rPr>
          <w:rFonts w:eastAsiaTheme="minorEastAsia"/>
        </w:rPr>
        <w:t>cy program</w:t>
      </w:r>
      <w:r w:rsidR="2D06DC3F" w:rsidRPr="73D33A9C">
        <w:rPr>
          <w:rFonts w:eastAsiaTheme="minorEastAsia"/>
        </w:rPr>
        <w:t xml:space="preserve">s can </w:t>
      </w:r>
      <w:r w:rsidR="0778A13A" w:rsidRPr="73D33A9C">
        <w:rPr>
          <w:rFonts w:eastAsiaTheme="minorEastAsia"/>
        </w:rPr>
        <w:t>nominate</w:t>
      </w:r>
      <w:r w:rsidR="2D06DC3F" w:rsidRPr="73D33A9C">
        <w:rPr>
          <w:rFonts w:eastAsiaTheme="minorEastAsia"/>
        </w:rPr>
        <w:t xml:space="preserve"> a SOPT delegate</w:t>
      </w:r>
      <w:r w:rsidR="6A1B8112" w:rsidRPr="73D33A9C">
        <w:rPr>
          <w:rFonts w:eastAsiaTheme="minorEastAsia"/>
        </w:rPr>
        <w:t xml:space="preserve"> (and an alternate)</w:t>
      </w:r>
      <w:r w:rsidR="2D06DC3F" w:rsidRPr="73D33A9C">
        <w:rPr>
          <w:rFonts w:eastAsiaTheme="minorEastAsia"/>
        </w:rPr>
        <w:t xml:space="preserve">, </w:t>
      </w:r>
      <w:r w:rsidR="327A77D7" w:rsidRPr="73D33A9C">
        <w:rPr>
          <w:rFonts w:eastAsiaTheme="minorEastAsia"/>
        </w:rPr>
        <w:t>who will attend the AAP National Conference and Exhibition each year and act as a liaison between</w:t>
      </w:r>
      <w:r w:rsidR="003015DF">
        <w:rPr>
          <w:rFonts w:eastAsiaTheme="minorEastAsia"/>
        </w:rPr>
        <w:t xml:space="preserve"> the</w:t>
      </w:r>
      <w:r w:rsidR="327A77D7" w:rsidRPr="73D33A9C">
        <w:rPr>
          <w:rFonts w:eastAsiaTheme="minorEastAsia"/>
        </w:rPr>
        <w:t xml:space="preserve"> AAP SOPT and the residency program. </w:t>
      </w:r>
      <w:r w:rsidR="05160EEB" w:rsidRPr="73D33A9C">
        <w:rPr>
          <w:rFonts w:eastAsiaTheme="minorEastAsia"/>
        </w:rPr>
        <w:t>The SOPT delegate typically should be named to the AAP by the end of July each year, and programs should have a process in place for choosing this person.</w:t>
      </w:r>
      <w:r w:rsidR="50EED165" w:rsidRPr="73D33A9C">
        <w:rPr>
          <w:rFonts w:eastAsiaTheme="minorEastAsia"/>
        </w:rPr>
        <w:t xml:space="preserve"> </w:t>
      </w:r>
    </w:p>
    <w:p w14:paraId="43228BB2" w14:textId="2A07959C" w:rsidR="00EB72E0" w:rsidRDefault="00EB72E0" w:rsidP="73D33A9C">
      <w:pPr>
        <w:pStyle w:val="ListParagraph"/>
        <w:spacing w:after="0"/>
        <w:rPr>
          <w:rFonts w:eastAsiaTheme="minorEastAsia"/>
        </w:rPr>
      </w:pPr>
    </w:p>
    <w:p w14:paraId="08016641" w14:textId="328D3860" w:rsidR="00EB72E0" w:rsidRDefault="1075A66E" w:rsidP="73D33A9C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73D33A9C">
        <w:rPr>
          <w:rFonts w:eastAsiaTheme="minorEastAsia"/>
          <w:u w:val="single"/>
        </w:rPr>
        <w:t>Advocacy Resources</w:t>
      </w:r>
      <w:r w:rsidR="1F55FD32" w:rsidRPr="73D33A9C">
        <w:rPr>
          <w:rFonts w:eastAsiaTheme="minorEastAsia"/>
        </w:rPr>
        <w:t xml:space="preserve">: The SOPT often sponsors a </w:t>
      </w:r>
      <w:hyperlink r:id="rId13">
        <w:r w:rsidR="1F55FD32" w:rsidRPr="73D33A9C">
          <w:rPr>
            <w:rStyle w:val="Hyperlink"/>
            <w:rFonts w:eastAsiaTheme="minorEastAsia"/>
          </w:rPr>
          <w:t>national advocacy campaign</w:t>
        </w:r>
      </w:hyperlink>
      <w:r w:rsidR="1F55FD32" w:rsidRPr="73D33A9C">
        <w:rPr>
          <w:rFonts w:eastAsiaTheme="minorEastAsia"/>
        </w:rPr>
        <w:t xml:space="preserve"> that trainees can be a part of. </w:t>
      </w:r>
      <w:r w:rsidR="0CF0E4E2" w:rsidRPr="73D33A9C">
        <w:rPr>
          <w:rFonts w:eastAsiaTheme="minorEastAsia"/>
        </w:rPr>
        <w:t>The AAP also offers other general advocacy resources by topic, including common state issues and federal advocacy blueprints.</w:t>
      </w:r>
      <w:r w:rsidR="140E3672" w:rsidRPr="73D33A9C">
        <w:rPr>
          <w:rFonts w:eastAsiaTheme="minorEastAsia"/>
        </w:rPr>
        <w:t xml:space="preserve"> The new </w:t>
      </w:r>
      <w:hyperlink r:id="rId14">
        <w:r w:rsidR="140E3672" w:rsidRPr="73D33A9C">
          <w:rPr>
            <w:rStyle w:val="Hyperlink"/>
            <w:rFonts w:eastAsiaTheme="minorEastAsia"/>
          </w:rPr>
          <w:t>Digital Advocacy Guide</w:t>
        </w:r>
      </w:hyperlink>
      <w:r w:rsidR="140E3672" w:rsidRPr="73D33A9C">
        <w:rPr>
          <w:rFonts w:eastAsiaTheme="minorEastAsia"/>
        </w:rPr>
        <w:t xml:space="preserve"> is a</w:t>
      </w:r>
      <w:r w:rsidR="1B70B5FC" w:rsidRPr="73D33A9C">
        <w:rPr>
          <w:rFonts w:eastAsiaTheme="minorEastAsia"/>
        </w:rPr>
        <w:t>n all-encompassing</w:t>
      </w:r>
      <w:r w:rsidR="140E3672" w:rsidRPr="73D33A9C">
        <w:rPr>
          <w:rFonts w:eastAsiaTheme="minorEastAsia"/>
        </w:rPr>
        <w:t xml:space="preserve"> resource for any pediatrician. </w:t>
      </w:r>
    </w:p>
    <w:p w14:paraId="6EB88C2B" w14:textId="20C31DC3" w:rsidR="00A453D8" w:rsidRPr="00241477" w:rsidRDefault="00A453D8" w:rsidP="00241477">
      <w:pPr>
        <w:spacing w:after="0"/>
        <w:rPr>
          <w:rFonts w:eastAsiaTheme="minorEastAsia"/>
        </w:rPr>
      </w:pPr>
    </w:p>
    <w:p w14:paraId="1FF1DFE3" w14:textId="05C660B9" w:rsidR="00EB72E0" w:rsidRDefault="1075A66E" w:rsidP="73D33A9C">
      <w:pPr>
        <w:pStyle w:val="ListParagraph"/>
        <w:numPr>
          <w:ilvl w:val="0"/>
          <w:numId w:val="2"/>
        </w:numPr>
        <w:spacing w:after="0"/>
        <w:rPr>
          <w:rFonts w:eastAsiaTheme="minorEastAsia"/>
        </w:rPr>
      </w:pPr>
      <w:r w:rsidRPr="73D33A9C">
        <w:rPr>
          <w:rFonts w:eastAsiaTheme="minorEastAsia"/>
          <w:u w:val="single"/>
        </w:rPr>
        <w:t xml:space="preserve">Leadership </w:t>
      </w:r>
      <w:r w:rsidR="25C39C52" w:rsidRPr="73D33A9C">
        <w:rPr>
          <w:rFonts w:eastAsiaTheme="minorEastAsia"/>
          <w:u w:val="single"/>
        </w:rPr>
        <w:t>O</w:t>
      </w:r>
      <w:r w:rsidRPr="73D33A9C">
        <w:rPr>
          <w:rFonts w:eastAsiaTheme="minorEastAsia"/>
          <w:u w:val="single"/>
        </w:rPr>
        <w:t>pportunities</w:t>
      </w:r>
      <w:r w:rsidR="4A6E03EA" w:rsidRPr="73D33A9C">
        <w:rPr>
          <w:rFonts w:eastAsiaTheme="minorEastAsia"/>
        </w:rPr>
        <w:t xml:space="preserve">: </w:t>
      </w:r>
      <w:r w:rsidR="01209BD5" w:rsidRPr="73D33A9C">
        <w:rPr>
          <w:rFonts w:eastAsiaTheme="minorEastAsia"/>
        </w:rPr>
        <w:t xml:space="preserve">Resident and fellow trainees can </w:t>
      </w:r>
      <w:r w:rsidR="21CE293C" w:rsidRPr="73D33A9C">
        <w:rPr>
          <w:rFonts w:eastAsiaTheme="minorEastAsia"/>
        </w:rPr>
        <w:t xml:space="preserve">participate in any section or council of the AAP as a member </w:t>
      </w:r>
      <w:r w:rsidR="73E6C53C" w:rsidRPr="73D33A9C">
        <w:rPr>
          <w:rFonts w:eastAsiaTheme="minorEastAsia"/>
        </w:rPr>
        <w:t xml:space="preserve">and can also get engaged with the </w:t>
      </w:r>
      <w:hyperlink r:id="rId15">
        <w:r w:rsidR="73E6C53C" w:rsidRPr="73D33A9C">
          <w:rPr>
            <w:rStyle w:val="Hyperlink"/>
            <w:rFonts w:eastAsiaTheme="minorEastAsia"/>
          </w:rPr>
          <w:t>AAP Volunteer Network</w:t>
        </w:r>
      </w:hyperlink>
      <w:r w:rsidR="73E6C53C" w:rsidRPr="73D33A9C">
        <w:rPr>
          <w:rFonts w:eastAsiaTheme="minorEastAsia"/>
        </w:rPr>
        <w:t xml:space="preserve">. </w:t>
      </w:r>
      <w:r w:rsidR="4A6E03EA" w:rsidRPr="73D33A9C">
        <w:rPr>
          <w:rFonts w:eastAsiaTheme="minorEastAsia"/>
        </w:rPr>
        <w:t xml:space="preserve">As above, residents and fellows have many </w:t>
      </w:r>
      <w:hyperlink r:id="rId16">
        <w:r w:rsidR="4A6E03EA" w:rsidRPr="73D33A9C">
          <w:rPr>
            <w:rStyle w:val="Hyperlink"/>
            <w:rFonts w:eastAsiaTheme="minorEastAsia"/>
          </w:rPr>
          <w:t>opportunities for leadership within the SOPT</w:t>
        </w:r>
      </w:hyperlink>
      <w:r w:rsidR="5608D901" w:rsidRPr="73D33A9C">
        <w:rPr>
          <w:rFonts w:eastAsiaTheme="minorEastAsia"/>
        </w:rPr>
        <w:t xml:space="preserve"> with executive committee</w:t>
      </w:r>
      <w:r w:rsidR="77680ABC" w:rsidRPr="73D33A9C">
        <w:rPr>
          <w:rFonts w:eastAsiaTheme="minorEastAsia"/>
        </w:rPr>
        <w:t>, liaison, and working group</w:t>
      </w:r>
      <w:r w:rsidR="5608D901" w:rsidRPr="73D33A9C">
        <w:rPr>
          <w:rFonts w:eastAsiaTheme="minorEastAsia"/>
        </w:rPr>
        <w:t xml:space="preserve"> positions open each year</w:t>
      </w:r>
      <w:r w:rsidR="4A6E03EA" w:rsidRPr="73D33A9C">
        <w:rPr>
          <w:rFonts w:eastAsiaTheme="minorEastAsia"/>
        </w:rPr>
        <w:t>.</w:t>
      </w:r>
    </w:p>
    <w:p w14:paraId="6DD2FC3D" w14:textId="77777777" w:rsidR="00867071" w:rsidRDefault="00867071" w:rsidP="00000A27">
      <w:pPr>
        <w:pStyle w:val="ListParagraph"/>
      </w:pPr>
    </w:p>
    <w:p w14:paraId="40FB0773" w14:textId="14F4A62E" w:rsidR="00EB72E0" w:rsidRDefault="4E8C6D63" w:rsidP="73D33A9C">
      <w:pPr>
        <w:pStyle w:val="ListParagraph"/>
        <w:spacing w:after="0"/>
      </w:pPr>
      <w:r>
        <w:rPr>
          <w:noProof/>
        </w:rPr>
        <w:drawing>
          <wp:inline distT="0" distB="0" distL="0" distR="0" wp14:anchorId="4DA6D46D" wp14:editId="3AA4F65C">
            <wp:extent cx="4572000" cy="2571750"/>
            <wp:effectExtent l="0" t="0" r="0" b="0"/>
            <wp:docPr id="1883358959" name="Picture 1883358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F9453" w14:textId="0064DEAD" w:rsidR="00EB72E0" w:rsidRDefault="00EB72E0" w:rsidP="73D33A9C">
      <w:pPr>
        <w:spacing w:after="0"/>
        <w:rPr>
          <w:rFonts w:ascii="Cambria" w:hAnsi="Cambria"/>
          <w:color w:val="0070C0"/>
          <w:sz w:val="28"/>
          <w:szCs w:val="28"/>
        </w:rPr>
      </w:pPr>
    </w:p>
    <w:p w14:paraId="154CB93C" w14:textId="6F29E38A" w:rsidR="00EB72E0" w:rsidRDefault="710C9678" w:rsidP="73D33A9C">
      <w:pPr>
        <w:spacing w:after="0"/>
        <w:rPr>
          <w:rFonts w:ascii="Cambria" w:hAnsi="Cambria"/>
          <w:color w:val="0070C0"/>
          <w:sz w:val="28"/>
          <w:szCs w:val="28"/>
        </w:rPr>
      </w:pPr>
      <w:r w:rsidRPr="73D33A9C">
        <w:rPr>
          <w:rFonts w:ascii="Cambria" w:hAnsi="Cambria"/>
          <w:color w:val="0070C0"/>
          <w:sz w:val="28"/>
          <w:szCs w:val="28"/>
        </w:rPr>
        <w:t>Website Resources</w:t>
      </w:r>
    </w:p>
    <w:p w14:paraId="2A65B22A" w14:textId="77777777" w:rsidR="00867071" w:rsidRDefault="00867071" w:rsidP="73D33A9C">
      <w:pPr>
        <w:spacing w:after="0"/>
      </w:pPr>
    </w:p>
    <w:p w14:paraId="69ACB909" w14:textId="7567CE63" w:rsidR="00EB72E0" w:rsidRDefault="74000929" w:rsidP="73D33A9C">
      <w:pPr>
        <w:spacing w:after="0"/>
      </w:pPr>
      <w:r w:rsidRPr="73D33A9C">
        <w:t xml:space="preserve">A few other key resources that the AAP provides for pediatricians that are very relevant to residents include: </w:t>
      </w:r>
    </w:p>
    <w:p w14:paraId="7AFDC494" w14:textId="771D02C2" w:rsidR="00EB72E0" w:rsidRDefault="00867071" w:rsidP="00000A27">
      <w:pPr>
        <w:pStyle w:val="ListParagraph"/>
        <w:numPr>
          <w:ilvl w:val="0"/>
          <w:numId w:val="6"/>
        </w:numPr>
        <w:spacing w:after="0"/>
      </w:pPr>
      <w:hyperlink r:id="rId18">
        <w:r w:rsidR="74000929" w:rsidRPr="73D33A9C">
          <w:rPr>
            <w:rStyle w:val="Hyperlink"/>
          </w:rPr>
          <w:t>Career resources</w:t>
        </w:r>
      </w:hyperlink>
    </w:p>
    <w:p w14:paraId="463ECBE9" w14:textId="60E03BEA" w:rsidR="00EB72E0" w:rsidRDefault="00867071" w:rsidP="00000A27">
      <w:pPr>
        <w:pStyle w:val="ListParagraph"/>
        <w:numPr>
          <w:ilvl w:val="0"/>
          <w:numId w:val="6"/>
        </w:numPr>
        <w:spacing w:after="0"/>
      </w:pPr>
      <w:hyperlink r:id="rId19">
        <w:r w:rsidR="74000929" w:rsidRPr="73D33A9C">
          <w:rPr>
            <w:rStyle w:val="Hyperlink"/>
          </w:rPr>
          <w:t>Journal subscriptions</w:t>
        </w:r>
      </w:hyperlink>
    </w:p>
    <w:p w14:paraId="734FBD67" w14:textId="3C29CA4B" w:rsidR="00EB72E0" w:rsidRDefault="00867071" w:rsidP="00000A27">
      <w:pPr>
        <w:pStyle w:val="ListParagraph"/>
        <w:numPr>
          <w:ilvl w:val="0"/>
          <w:numId w:val="6"/>
        </w:numPr>
        <w:spacing w:after="0"/>
      </w:pPr>
      <w:hyperlink r:id="rId20">
        <w:r w:rsidR="74000929" w:rsidRPr="73D33A9C">
          <w:rPr>
            <w:rStyle w:val="Hyperlink"/>
          </w:rPr>
          <w:t>Patient care resources</w:t>
        </w:r>
      </w:hyperlink>
      <w:r w:rsidR="74000929" w:rsidRPr="73D33A9C">
        <w:t xml:space="preserve"> </w:t>
      </w:r>
    </w:p>
    <w:p w14:paraId="5EC66A17" w14:textId="704DBF3E" w:rsidR="00EB72E0" w:rsidRDefault="00867071" w:rsidP="00000A27">
      <w:pPr>
        <w:pStyle w:val="ListParagraph"/>
        <w:numPr>
          <w:ilvl w:val="0"/>
          <w:numId w:val="6"/>
        </w:numPr>
        <w:spacing w:after="0"/>
      </w:pPr>
      <w:hyperlink r:id="rId21">
        <w:r w:rsidR="74000929" w:rsidRPr="73D33A9C">
          <w:rPr>
            <w:rStyle w:val="Hyperlink"/>
          </w:rPr>
          <w:t>HealthyChildren.org</w:t>
        </w:r>
      </w:hyperlink>
      <w:r w:rsidR="74000929" w:rsidRPr="73D33A9C">
        <w:t xml:space="preserve"> </w:t>
      </w:r>
      <w:r>
        <w:t>–</w:t>
      </w:r>
      <w:r w:rsidR="74000929" w:rsidRPr="73D33A9C">
        <w:t xml:space="preserve"> Resources for patients (and young resident parents!)</w:t>
      </w:r>
    </w:p>
    <w:p w14:paraId="1CE31813" w14:textId="022A397F" w:rsidR="00EB72E0" w:rsidRDefault="00EB72E0" w:rsidP="73D33A9C">
      <w:pPr>
        <w:spacing w:after="0"/>
      </w:pPr>
    </w:p>
    <w:p w14:paraId="12158E7F" w14:textId="3C460BAE" w:rsidR="00EB72E0" w:rsidRDefault="00EB72E0" w:rsidP="00EB72E0">
      <w:pPr>
        <w:spacing w:after="0"/>
        <w:rPr>
          <w:rFonts w:ascii="Cambria" w:hAnsi="Cambria"/>
          <w:color w:val="0070C0"/>
          <w:sz w:val="28"/>
          <w:szCs w:val="28"/>
        </w:rPr>
      </w:pPr>
      <w:r w:rsidRPr="73D33A9C">
        <w:rPr>
          <w:rFonts w:ascii="Cambria" w:hAnsi="Cambria"/>
          <w:color w:val="0070C0"/>
          <w:sz w:val="28"/>
          <w:szCs w:val="28"/>
        </w:rPr>
        <w:t>Grants and Scholarships</w:t>
      </w:r>
    </w:p>
    <w:p w14:paraId="7E27F2F5" w14:textId="77777777" w:rsidR="009F08DF" w:rsidRPr="00000A27" w:rsidRDefault="009F08DF" w:rsidP="00EB72E0">
      <w:pPr>
        <w:spacing w:after="0"/>
        <w:rPr>
          <w:rFonts w:ascii="Cambria" w:hAnsi="Cambria"/>
          <w:color w:val="0070C0"/>
        </w:rPr>
      </w:pPr>
    </w:p>
    <w:p w14:paraId="18B052D4" w14:textId="36D4D652" w:rsidR="007C1A9B" w:rsidRDefault="00EB72E0" w:rsidP="00DC4460">
      <w:pPr>
        <w:spacing w:after="0"/>
        <w:rPr>
          <w:rFonts w:cstheme="minorHAnsi"/>
        </w:rPr>
      </w:pPr>
      <w:r>
        <w:rPr>
          <w:rFonts w:cstheme="minorHAnsi"/>
        </w:rPr>
        <w:t xml:space="preserve">The </w:t>
      </w:r>
      <w:hyperlink r:id="rId22" w:history="1">
        <w:r w:rsidRPr="00EB72E0">
          <w:rPr>
            <w:rStyle w:val="Hyperlink"/>
            <w:rFonts w:cstheme="minorHAnsi"/>
          </w:rPr>
          <w:t>AAP Section on Pediatric Trainees (SOPT)</w:t>
        </w:r>
      </w:hyperlink>
      <w:r>
        <w:rPr>
          <w:rFonts w:cstheme="minorHAnsi"/>
        </w:rPr>
        <w:t xml:space="preserve"> has numerous</w:t>
      </w:r>
      <w:r w:rsidR="00E96E48">
        <w:rPr>
          <w:rFonts w:cstheme="minorHAnsi"/>
        </w:rPr>
        <w:t xml:space="preserve"> yearly</w:t>
      </w:r>
      <w:r>
        <w:rPr>
          <w:rFonts w:cstheme="minorHAnsi"/>
        </w:rPr>
        <w:t xml:space="preserve"> </w:t>
      </w:r>
      <w:hyperlink r:id="rId23" w:history="1">
        <w:r w:rsidRPr="00EB72E0">
          <w:rPr>
            <w:rStyle w:val="Hyperlink"/>
            <w:rFonts w:cstheme="minorHAnsi"/>
          </w:rPr>
          <w:t>funding and award opportunities</w:t>
        </w:r>
      </w:hyperlink>
      <w:r>
        <w:rPr>
          <w:rFonts w:cstheme="minorHAnsi"/>
        </w:rPr>
        <w:t xml:space="preserve"> not limited to:</w:t>
      </w:r>
    </w:p>
    <w:p w14:paraId="05D867D6" w14:textId="2E519338" w:rsidR="00EB72E0" w:rsidRPr="00867071" w:rsidRDefault="00EB72E0" w:rsidP="00000A27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73D33A9C">
        <w:t>Advocacy Conference Scholarships</w:t>
      </w:r>
      <w:r w:rsidR="00E96E48" w:rsidRPr="73D33A9C">
        <w:t xml:space="preserve"> – applications in January</w:t>
      </w:r>
    </w:p>
    <w:p w14:paraId="07B51F7B" w14:textId="5E4505BA" w:rsidR="00EB72E0" w:rsidRPr="00867071" w:rsidRDefault="00EB72E0" w:rsidP="00000A27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73D33A9C">
        <w:t>C</w:t>
      </w:r>
      <w:r w:rsidR="00E96E48" w:rsidRPr="73D33A9C">
        <w:t>hild Advocacy Award –applications in April through June</w:t>
      </w:r>
    </w:p>
    <w:p w14:paraId="4C1AF8A1" w14:textId="59842A06" w:rsidR="00EB72E0" w:rsidRPr="00867071" w:rsidRDefault="00EB72E0" w:rsidP="00000A27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73D33A9C">
        <w:t>Clinical Case Competitions</w:t>
      </w:r>
      <w:r w:rsidR="00E96E48" w:rsidRPr="73D33A9C">
        <w:t xml:space="preserve"> – applications in February through April. </w:t>
      </w:r>
    </w:p>
    <w:p w14:paraId="5EAB17FC" w14:textId="3853B6E8" w:rsidR="00EB72E0" w:rsidRPr="00867071" w:rsidRDefault="00EB72E0" w:rsidP="00000A27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73D33A9C">
        <w:lastRenderedPageBreak/>
        <w:t>Community Access to Child Health (CATCH) Resident Grants</w:t>
      </w:r>
      <w:r w:rsidR="00E96E48" w:rsidRPr="73D33A9C">
        <w:t xml:space="preserve"> – applications in November through January</w:t>
      </w:r>
    </w:p>
    <w:p w14:paraId="5531E6DB" w14:textId="371613A1" w:rsidR="00EB72E0" w:rsidRPr="00867071" w:rsidRDefault="00EB72E0" w:rsidP="00000A27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73D33A9C">
        <w:t>Financial Hardship Grants</w:t>
      </w:r>
      <w:r w:rsidR="00E96E48" w:rsidRPr="73D33A9C">
        <w:t xml:space="preserve"> – applications in April</w:t>
      </w:r>
    </w:p>
    <w:p w14:paraId="242FF6C7" w14:textId="4616BBE6" w:rsidR="00EB72E0" w:rsidRPr="00867071" w:rsidRDefault="00EB72E0" w:rsidP="00000A27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73D33A9C">
        <w:t>Health Equity Grant Programs</w:t>
      </w:r>
      <w:r w:rsidR="00E96E48" w:rsidRPr="73D33A9C">
        <w:t xml:space="preserve"> – applications in November through January</w:t>
      </w:r>
    </w:p>
    <w:p w14:paraId="43357D49" w14:textId="12329C87" w:rsidR="00EB72E0" w:rsidRPr="00867071" w:rsidRDefault="00EB72E0" w:rsidP="00000A27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73D33A9C">
        <w:t>International Elective Awards</w:t>
      </w:r>
      <w:r w:rsidR="00E96E48" w:rsidRPr="73D33A9C">
        <w:t xml:space="preserve"> – applications in September and March (two cycles)</w:t>
      </w:r>
    </w:p>
    <w:p w14:paraId="27448B9D" w14:textId="0F87B640" w:rsidR="00EB72E0" w:rsidRPr="00867071" w:rsidRDefault="00EB72E0" w:rsidP="00000A27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73D33A9C">
        <w:t>Pediatric Hospital Medicine Conference Grants</w:t>
      </w:r>
    </w:p>
    <w:p w14:paraId="64676F9E" w14:textId="5576BD28" w:rsidR="00EB72E0" w:rsidRPr="00867071" w:rsidRDefault="00EB72E0" w:rsidP="00000A27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73D33A9C">
        <w:t>Program Delegate Awards</w:t>
      </w:r>
      <w:r w:rsidR="00E96E48" w:rsidRPr="73D33A9C">
        <w:t xml:space="preserve"> – applications in August</w:t>
      </w:r>
    </w:p>
    <w:p w14:paraId="61C560DE" w14:textId="71AEAC26" w:rsidR="00EB72E0" w:rsidRPr="00867071" w:rsidRDefault="00EB72E0" w:rsidP="00000A27">
      <w:pPr>
        <w:pStyle w:val="ListParagraph"/>
        <w:numPr>
          <w:ilvl w:val="0"/>
          <w:numId w:val="5"/>
        </w:numPr>
        <w:spacing w:after="0"/>
        <w:rPr>
          <w:rFonts w:cstheme="minorHAnsi"/>
        </w:rPr>
      </w:pPr>
      <w:r w:rsidRPr="73D33A9C">
        <w:t>Resident Research Grants</w:t>
      </w:r>
      <w:r w:rsidR="00E96E48" w:rsidRPr="73D33A9C">
        <w:t xml:space="preserve"> </w:t>
      </w:r>
      <w:r w:rsidR="00867071">
        <w:t>–</w:t>
      </w:r>
      <w:r w:rsidR="00E96E48" w:rsidRPr="73D33A9C">
        <w:t xml:space="preserve"> applications in December through February</w:t>
      </w:r>
    </w:p>
    <w:p w14:paraId="131B1C33" w14:textId="0BFA1A63" w:rsidR="00EB72E0" w:rsidRDefault="00EB72E0" w:rsidP="00DC4460">
      <w:pPr>
        <w:spacing w:after="0"/>
        <w:rPr>
          <w:rFonts w:cstheme="minorHAnsi"/>
        </w:rPr>
      </w:pPr>
    </w:p>
    <w:p w14:paraId="3F5638E8" w14:textId="23813E6D" w:rsidR="00EB72E0" w:rsidRPr="007C1A9B" w:rsidRDefault="00E30367" w:rsidP="00EB72E0">
      <w:pPr>
        <w:spacing w:after="0"/>
        <w:rPr>
          <w:rFonts w:ascii="Cambria" w:hAnsi="Cambria"/>
          <w:color w:val="0070C0"/>
          <w:sz w:val="28"/>
          <w:szCs w:val="28"/>
        </w:rPr>
      </w:pPr>
      <w:r>
        <w:rPr>
          <w:rFonts w:ascii="Cambria" w:hAnsi="Cambria"/>
          <w:color w:val="0070C0"/>
          <w:sz w:val="28"/>
          <w:szCs w:val="28"/>
        </w:rPr>
        <w:t>PediaL</w:t>
      </w:r>
      <w:r w:rsidR="00E96E48">
        <w:rPr>
          <w:rFonts w:ascii="Cambria" w:hAnsi="Cambria"/>
          <w:color w:val="0070C0"/>
          <w:sz w:val="28"/>
          <w:szCs w:val="28"/>
        </w:rPr>
        <w:t>ink</w:t>
      </w:r>
    </w:p>
    <w:p w14:paraId="14D302C9" w14:textId="6A4875A7" w:rsidR="00EB72E0" w:rsidRDefault="00EB72E0" w:rsidP="00DC4460">
      <w:pPr>
        <w:spacing w:after="0"/>
        <w:rPr>
          <w:rFonts w:cstheme="minorHAnsi"/>
        </w:rPr>
      </w:pPr>
    </w:p>
    <w:p w14:paraId="78D684F2" w14:textId="42425607" w:rsidR="00E30367" w:rsidRDefault="00000000" w:rsidP="00DC4460">
      <w:pPr>
        <w:spacing w:after="0"/>
        <w:rPr>
          <w:rFonts w:cstheme="minorHAnsi"/>
        </w:rPr>
      </w:pPr>
      <w:hyperlink r:id="rId24" w:history="1">
        <w:r w:rsidR="00E30367" w:rsidRPr="00E30367">
          <w:rPr>
            <w:rStyle w:val="Hyperlink"/>
            <w:rFonts w:cstheme="minorHAnsi"/>
          </w:rPr>
          <w:t>PediaLink</w:t>
        </w:r>
      </w:hyperlink>
      <w:r w:rsidR="00E30367">
        <w:rPr>
          <w:rFonts w:cstheme="minorHAnsi"/>
        </w:rPr>
        <w:t xml:space="preserve"> is the educational platform of the AAP website which offers trainees</w:t>
      </w:r>
      <w:r w:rsidR="00586D92">
        <w:rPr>
          <w:rFonts w:cstheme="minorHAnsi"/>
        </w:rPr>
        <w:t>,</w:t>
      </w:r>
      <w:r w:rsidR="00E30367">
        <w:rPr>
          <w:rFonts w:cstheme="minorHAnsi"/>
        </w:rPr>
        <w:t xml:space="preserve"> program </w:t>
      </w:r>
      <w:r w:rsidR="00586D92">
        <w:rPr>
          <w:rFonts w:cstheme="minorHAnsi"/>
        </w:rPr>
        <w:t xml:space="preserve">directors, and resident </w:t>
      </w:r>
      <w:proofErr w:type="gramStart"/>
      <w:r w:rsidR="00586D92">
        <w:rPr>
          <w:rFonts w:cstheme="minorHAnsi"/>
        </w:rPr>
        <w:t>advisors</w:t>
      </w:r>
      <w:proofErr w:type="gramEnd"/>
      <w:r w:rsidR="00586D92">
        <w:rPr>
          <w:rFonts w:cstheme="minorHAnsi"/>
        </w:rPr>
        <w:t xml:space="preserve"> </w:t>
      </w:r>
      <w:r w:rsidR="00E30367">
        <w:rPr>
          <w:rFonts w:cstheme="minorHAnsi"/>
        </w:rPr>
        <w:t>numerous resources</w:t>
      </w:r>
      <w:r w:rsidR="00867071">
        <w:rPr>
          <w:rFonts w:cstheme="minorHAnsi"/>
        </w:rPr>
        <w:t>,</w:t>
      </w:r>
      <w:r w:rsidR="00586D92">
        <w:rPr>
          <w:rFonts w:cstheme="minorHAnsi"/>
        </w:rPr>
        <w:t xml:space="preserve"> if they are paid members of the AAP</w:t>
      </w:r>
      <w:r w:rsidR="00E30367">
        <w:rPr>
          <w:rFonts w:cstheme="minorHAnsi"/>
        </w:rPr>
        <w:t>.</w:t>
      </w:r>
      <w:r w:rsidR="00586D92">
        <w:rPr>
          <w:rFonts w:cstheme="minorHAnsi"/>
        </w:rPr>
        <w:t xml:space="preserve"> Program coordinators </w:t>
      </w:r>
      <w:r w:rsidR="00A453D8">
        <w:rPr>
          <w:rFonts w:cstheme="minorHAnsi"/>
        </w:rPr>
        <w:t xml:space="preserve">of Dual Sponsoring Organizations </w:t>
      </w:r>
      <w:r w:rsidR="00586D92">
        <w:rPr>
          <w:rFonts w:cstheme="minorHAnsi"/>
        </w:rPr>
        <w:t>have access to PediaLink</w:t>
      </w:r>
      <w:r w:rsidR="00867071">
        <w:rPr>
          <w:rFonts w:cstheme="minorHAnsi"/>
        </w:rPr>
        <w:t>,</w:t>
      </w:r>
      <w:r w:rsidR="00586D92">
        <w:rPr>
          <w:rFonts w:cstheme="minorHAnsi"/>
        </w:rPr>
        <w:t xml:space="preserve"> as well.</w:t>
      </w:r>
      <w:r w:rsidR="00E30367">
        <w:rPr>
          <w:rFonts w:cstheme="minorHAnsi"/>
        </w:rPr>
        <w:t xml:space="preserve"> Programs should notify the AAP of a program director change so that the PD has access to all the PediaLink resources. The PediaLink portal can be accessed by the PD logging in with their AAP </w:t>
      </w:r>
      <w:r w:rsidR="00C242C1">
        <w:rPr>
          <w:rFonts w:cstheme="minorHAnsi"/>
        </w:rPr>
        <w:t>username</w:t>
      </w:r>
      <w:r w:rsidR="00E30367">
        <w:rPr>
          <w:rFonts w:cstheme="minorHAnsi"/>
        </w:rPr>
        <w:t xml:space="preserve"> and password. </w:t>
      </w:r>
      <w:r w:rsidR="00C242C1">
        <w:rPr>
          <w:rFonts w:cstheme="minorHAnsi"/>
        </w:rPr>
        <w:t>PDs</w:t>
      </w:r>
      <w:r w:rsidR="00E30367">
        <w:rPr>
          <w:rFonts w:cstheme="minorHAnsi"/>
        </w:rPr>
        <w:t xml:space="preserve"> are granted access to</w:t>
      </w:r>
      <w:r w:rsidR="00E043B2">
        <w:rPr>
          <w:rFonts w:cstheme="minorHAnsi"/>
        </w:rPr>
        <w:t xml:space="preserve"> residency</w:t>
      </w:r>
      <w:r w:rsidR="00E30367">
        <w:rPr>
          <w:rFonts w:cstheme="minorHAnsi"/>
        </w:rPr>
        <w:t xml:space="preserve"> program-specific data by clicking on “Manage Your Program.” In the PediaLink Online Learning Center, you will have access to three separate views/tabs:</w:t>
      </w:r>
    </w:p>
    <w:p w14:paraId="720B62A2" w14:textId="39D3DA3C" w:rsidR="00E30367" w:rsidRDefault="00E30367" w:rsidP="00DC4460">
      <w:pPr>
        <w:spacing w:after="0"/>
        <w:rPr>
          <w:rFonts w:cstheme="minorHAnsi"/>
        </w:rPr>
      </w:pPr>
    </w:p>
    <w:p w14:paraId="0F681388" w14:textId="5C47375E" w:rsidR="00E30367" w:rsidRDefault="00E30367" w:rsidP="00E30367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73D33A9C">
        <w:rPr>
          <w:u w:val="single"/>
        </w:rPr>
        <w:t>Pediatrician View</w:t>
      </w:r>
      <w:r w:rsidRPr="73D33A9C">
        <w:t xml:space="preserve"> – this view is available to any pediatrician with an AAP membership and includes access to CME activities/transcripts, educational resources, and career/leadership guidance. </w:t>
      </w:r>
    </w:p>
    <w:p w14:paraId="3323E61E" w14:textId="77777777" w:rsidR="002A5374" w:rsidRDefault="002A5374" w:rsidP="002A5374">
      <w:pPr>
        <w:pStyle w:val="ListParagraph"/>
        <w:spacing w:after="0"/>
        <w:rPr>
          <w:rFonts w:cstheme="minorHAnsi"/>
        </w:rPr>
      </w:pPr>
    </w:p>
    <w:p w14:paraId="20A0F1BD" w14:textId="6C4DD390" w:rsidR="00E30367" w:rsidRDefault="00E30367" w:rsidP="00E30367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73D33A9C">
        <w:rPr>
          <w:u w:val="single"/>
        </w:rPr>
        <w:t>Program View</w:t>
      </w:r>
      <w:r w:rsidRPr="73D33A9C">
        <w:t xml:space="preserve"> – is a v</w:t>
      </w:r>
      <w:r w:rsidR="00586D92" w:rsidRPr="73D33A9C">
        <w:t xml:space="preserve">iew unique to program directors, program coordinators, and trainee advisors </w:t>
      </w:r>
      <w:r w:rsidRPr="73D33A9C">
        <w:t>that provide</w:t>
      </w:r>
      <w:r w:rsidR="00586D92" w:rsidRPr="73D33A9C">
        <w:t>s</w:t>
      </w:r>
      <w:r w:rsidRPr="73D33A9C">
        <w:t xml:space="preserve"> overarching access to </w:t>
      </w:r>
      <w:r w:rsidR="00586D92" w:rsidRPr="73D33A9C">
        <w:t>your program’s resident data through various tabs:</w:t>
      </w:r>
    </w:p>
    <w:p w14:paraId="7E721BFD" w14:textId="77777777" w:rsidR="00867071" w:rsidRPr="00000A27" w:rsidRDefault="00867071" w:rsidP="00000A27">
      <w:pPr>
        <w:pStyle w:val="ListParagraph"/>
        <w:rPr>
          <w:rFonts w:cstheme="minorHAnsi"/>
          <w:b/>
        </w:rPr>
      </w:pPr>
    </w:p>
    <w:p w14:paraId="7C065D54" w14:textId="05EB0FA1" w:rsidR="00586D92" w:rsidRDefault="00586D92" w:rsidP="00586D92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2A5374">
        <w:rPr>
          <w:rFonts w:cstheme="minorHAnsi"/>
          <w:b/>
        </w:rPr>
        <w:t>Home</w:t>
      </w:r>
      <w:r>
        <w:rPr>
          <w:rFonts w:cstheme="minorHAnsi"/>
        </w:rPr>
        <w:t xml:space="preserve"> – allows </w:t>
      </w:r>
      <w:r w:rsidR="00FD3262">
        <w:rPr>
          <w:rFonts w:cstheme="minorHAnsi"/>
        </w:rPr>
        <w:t>PDs</w:t>
      </w:r>
      <w:r>
        <w:rPr>
          <w:rFonts w:cstheme="minorHAnsi"/>
        </w:rPr>
        <w:t xml:space="preserve"> to preview </w:t>
      </w:r>
      <w:r w:rsidR="00E00B95">
        <w:rPr>
          <w:rFonts w:cstheme="minorHAnsi"/>
        </w:rPr>
        <w:t xml:space="preserve">the </w:t>
      </w:r>
      <w:r w:rsidR="00D1067E">
        <w:rPr>
          <w:rFonts w:cstheme="minorHAnsi"/>
        </w:rPr>
        <w:t xml:space="preserve">educational </w:t>
      </w:r>
      <w:r>
        <w:rPr>
          <w:rFonts w:cstheme="minorHAnsi"/>
        </w:rPr>
        <w:t>courses, QI resources (EQIPP), and medical education resources all available to trainees fo</w:t>
      </w:r>
      <w:r w:rsidR="00E00B95">
        <w:rPr>
          <w:rFonts w:cstheme="minorHAnsi"/>
        </w:rPr>
        <w:t>r free through the PediaLink portal</w:t>
      </w:r>
      <w:r>
        <w:rPr>
          <w:rFonts w:cstheme="minorHAnsi"/>
        </w:rPr>
        <w:t xml:space="preserve">. </w:t>
      </w:r>
    </w:p>
    <w:p w14:paraId="23B44C73" w14:textId="523DE41B" w:rsidR="00586D92" w:rsidRDefault="00586D92" w:rsidP="00586D92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2A5374">
        <w:rPr>
          <w:rFonts w:cstheme="minorHAnsi"/>
          <w:b/>
        </w:rPr>
        <w:t>Program Administration</w:t>
      </w:r>
      <w:r>
        <w:rPr>
          <w:rFonts w:cstheme="minorHAnsi"/>
        </w:rPr>
        <w:t xml:space="preserve"> – allows programs to add new trainees (</w:t>
      </w:r>
      <w:r w:rsidR="00FD3262">
        <w:rPr>
          <w:rFonts w:cstheme="minorHAnsi"/>
        </w:rPr>
        <w:t>e.g.,</w:t>
      </w:r>
      <w:r>
        <w:rPr>
          <w:rFonts w:cstheme="minorHAnsi"/>
        </w:rPr>
        <w:t xml:space="preserve"> after Match Day), delete trainees (</w:t>
      </w:r>
      <w:r w:rsidR="00FD3262">
        <w:rPr>
          <w:rFonts w:cstheme="minorHAnsi"/>
        </w:rPr>
        <w:t>e.g.,</w:t>
      </w:r>
      <w:r>
        <w:rPr>
          <w:rFonts w:cstheme="minorHAnsi"/>
        </w:rPr>
        <w:t xml:space="preserve"> after graduation), </w:t>
      </w:r>
      <w:r w:rsidR="007C3217">
        <w:rPr>
          <w:rFonts w:cstheme="minorHAnsi"/>
        </w:rPr>
        <w:t>alter trainee</w:t>
      </w:r>
      <w:r>
        <w:rPr>
          <w:rFonts w:cstheme="minorHAnsi"/>
        </w:rPr>
        <w:t xml:space="preserve"> biographical information</w:t>
      </w:r>
      <w:r w:rsidR="007C3217">
        <w:rPr>
          <w:rFonts w:cstheme="minorHAnsi"/>
        </w:rPr>
        <w:t>, and assign trainee</w:t>
      </w:r>
      <w:r>
        <w:rPr>
          <w:rFonts w:cstheme="minorHAnsi"/>
        </w:rPr>
        <w:t xml:space="preserve"> advisors. Assigning advi</w:t>
      </w:r>
      <w:r w:rsidR="007C3217">
        <w:rPr>
          <w:rFonts w:cstheme="minorHAnsi"/>
        </w:rPr>
        <w:t>sors will give advisors access to the Individualized Learning Plan (ILP) and Pediatrics Review and Education Program (PREP) performance reports for their</w:t>
      </w:r>
      <w:r w:rsidR="00E00B95">
        <w:rPr>
          <w:rFonts w:cstheme="minorHAnsi"/>
        </w:rPr>
        <w:t xml:space="preserve"> assigned</w:t>
      </w:r>
      <w:r w:rsidR="007C3217">
        <w:rPr>
          <w:rFonts w:cstheme="minorHAnsi"/>
        </w:rPr>
        <w:t xml:space="preserve"> residents only. </w:t>
      </w:r>
    </w:p>
    <w:p w14:paraId="54915805" w14:textId="3CD5EBD2" w:rsidR="007C3217" w:rsidRDefault="007C3217" w:rsidP="00586D92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2A5374">
        <w:rPr>
          <w:rFonts w:cstheme="minorHAnsi"/>
          <w:b/>
        </w:rPr>
        <w:t>Learning Plan Manager</w:t>
      </w:r>
      <w:r>
        <w:rPr>
          <w:rFonts w:cstheme="minorHAnsi"/>
        </w:rPr>
        <w:t xml:space="preserve"> – is one way that residency programs can manage and operationalize the ACGME requirement of residents creating and updating individualized learning plans (ILP). This tab allows for programs to customize a learning plan for their program, view individual resident ILP’s, and run </w:t>
      </w:r>
      <w:r w:rsidR="00E00B95">
        <w:rPr>
          <w:rFonts w:cstheme="minorHAnsi"/>
        </w:rPr>
        <w:t>bulk resident I</w:t>
      </w:r>
      <w:r>
        <w:rPr>
          <w:rFonts w:cstheme="minorHAnsi"/>
        </w:rPr>
        <w:t>LP reports to export into an Excel file. The ILP’s allow r</w:t>
      </w:r>
      <w:r w:rsidR="00E00B95">
        <w:rPr>
          <w:rFonts w:cstheme="minorHAnsi"/>
        </w:rPr>
        <w:t>esidents to list</w:t>
      </w:r>
      <w:r>
        <w:rPr>
          <w:rFonts w:cstheme="minorHAnsi"/>
        </w:rPr>
        <w:t xml:space="preserve"> their goals, assess their competencies against the ACGME milestones, and develop action plan items and</w:t>
      </w:r>
      <w:r w:rsidR="00E00B95">
        <w:rPr>
          <w:rFonts w:cstheme="minorHAnsi"/>
        </w:rPr>
        <w:t xml:space="preserve"> strategies to meet their goals and improve competency</w:t>
      </w:r>
      <w:r w:rsidR="00A453D8">
        <w:rPr>
          <w:rFonts w:cstheme="minorHAnsi"/>
        </w:rPr>
        <w:t xml:space="preserve">. </w:t>
      </w:r>
    </w:p>
    <w:p w14:paraId="3437E848" w14:textId="3D2893FB" w:rsidR="0071166B" w:rsidRDefault="007C3217" w:rsidP="00586D92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2A5374">
        <w:rPr>
          <w:rFonts w:cstheme="minorHAnsi"/>
          <w:b/>
        </w:rPr>
        <w:t>PREP SA Reports</w:t>
      </w:r>
      <w:r>
        <w:rPr>
          <w:rFonts w:cstheme="minorHAnsi"/>
        </w:rPr>
        <w:t xml:space="preserve"> – allows residency programs to view the progress and performance of </w:t>
      </w:r>
      <w:r w:rsidR="0071166B">
        <w:rPr>
          <w:rFonts w:cstheme="minorHAnsi"/>
        </w:rPr>
        <w:t xml:space="preserve">individual </w:t>
      </w:r>
      <w:r>
        <w:rPr>
          <w:rFonts w:cstheme="minorHAnsi"/>
        </w:rPr>
        <w:t>resid</w:t>
      </w:r>
      <w:r w:rsidR="00E043B2">
        <w:rPr>
          <w:rFonts w:cstheme="minorHAnsi"/>
        </w:rPr>
        <w:t>ent</w:t>
      </w:r>
      <w:r>
        <w:rPr>
          <w:rFonts w:cstheme="minorHAnsi"/>
        </w:rPr>
        <w:t xml:space="preserve"> on </w:t>
      </w:r>
      <w:r w:rsidR="0071166B">
        <w:rPr>
          <w:rFonts w:cstheme="minorHAnsi"/>
        </w:rPr>
        <w:t xml:space="preserve">yearly PREP exams. By clicking the “view” tab next to a resident’s </w:t>
      </w:r>
      <w:r w:rsidR="00E043B2">
        <w:rPr>
          <w:rFonts w:cstheme="minorHAnsi"/>
        </w:rPr>
        <w:t xml:space="preserve">yearly </w:t>
      </w:r>
      <w:r w:rsidR="0071166B">
        <w:rPr>
          <w:rFonts w:cstheme="minorHAnsi"/>
        </w:rPr>
        <w:t xml:space="preserve">test, a PD can see how a resident is performing on each test content domain </w:t>
      </w:r>
      <w:r w:rsidR="0071166B">
        <w:rPr>
          <w:rFonts w:cstheme="minorHAnsi"/>
        </w:rPr>
        <w:lastRenderedPageBreak/>
        <w:t xml:space="preserve">which can be particularly helpful for monitoring board study plans and individual areas for improvement. The “Program Report” tab allows a residency program to view the performance of the residency in aggregate on each test content domain which may </w:t>
      </w:r>
      <w:r w:rsidR="00E00B95">
        <w:rPr>
          <w:rFonts w:cstheme="minorHAnsi"/>
        </w:rPr>
        <w:t xml:space="preserve">identify program weaknesses and </w:t>
      </w:r>
      <w:r w:rsidR="0071166B">
        <w:rPr>
          <w:rFonts w:cstheme="minorHAnsi"/>
        </w:rPr>
        <w:t xml:space="preserve">guide didactic curricula or focused board prep. </w:t>
      </w:r>
    </w:p>
    <w:p w14:paraId="060BD0BF" w14:textId="0ACD5966" w:rsidR="007C3217" w:rsidRDefault="0071166B" w:rsidP="00586D92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2A5374">
        <w:rPr>
          <w:rFonts w:cstheme="minorHAnsi"/>
          <w:b/>
        </w:rPr>
        <w:t>Quality Improvement</w:t>
      </w:r>
      <w:r>
        <w:rPr>
          <w:rFonts w:cstheme="minorHAnsi"/>
        </w:rPr>
        <w:t xml:space="preserve"> – allows residency program leaders to create and manage EQIPP</w:t>
      </w:r>
      <w:r w:rsidR="00E043B2">
        <w:rPr>
          <w:rFonts w:cstheme="minorHAnsi"/>
        </w:rPr>
        <w:t xml:space="preserve"> (Education in Quality Improvement for Pediatric Practice</w:t>
      </w:r>
      <w:r>
        <w:rPr>
          <w:rFonts w:cstheme="minorHAnsi"/>
        </w:rPr>
        <w:t>) groups and run reports on course completion or QI project progress for the residents.</w:t>
      </w:r>
    </w:p>
    <w:p w14:paraId="3881F9F7" w14:textId="1929539B" w:rsidR="00E00B95" w:rsidRDefault="00000000" w:rsidP="0071166B">
      <w:pPr>
        <w:pStyle w:val="ListParagraph"/>
        <w:numPr>
          <w:ilvl w:val="2"/>
          <w:numId w:val="3"/>
        </w:numPr>
        <w:spacing w:after="0"/>
        <w:rPr>
          <w:rFonts w:cstheme="minorHAnsi"/>
        </w:rPr>
      </w:pPr>
      <w:hyperlink r:id="rId25" w:history="1">
        <w:r w:rsidR="0071166B" w:rsidRPr="00644D26">
          <w:rPr>
            <w:rStyle w:val="Hyperlink"/>
            <w:rFonts w:cstheme="minorHAnsi"/>
          </w:rPr>
          <w:t>EQIPP</w:t>
        </w:r>
      </w:hyperlink>
      <w:r w:rsidR="00E00B95" w:rsidRPr="00633F3D">
        <w:rPr>
          <w:rFonts w:cstheme="minorHAnsi"/>
        </w:rPr>
        <w:t xml:space="preserve"> </w:t>
      </w:r>
      <w:r w:rsidR="00E00B95">
        <w:rPr>
          <w:rFonts w:cstheme="minorHAnsi"/>
        </w:rPr>
        <w:t>provides residents:</w:t>
      </w:r>
    </w:p>
    <w:p w14:paraId="4A77965A" w14:textId="2B64B959" w:rsidR="0071166B" w:rsidRDefault="00E00B95" w:rsidP="00E00B95">
      <w:pPr>
        <w:pStyle w:val="ListParagraph"/>
        <w:numPr>
          <w:ilvl w:val="3"/>
          <w:numId w:val="3"/>
        </w:numPr>
        <w:spacing w:after="0"/>
        <w:rPr>
          <w:rFonts w:cstheme="minorHAnsi"/>
        </w:rPr>
      </w:pPr>
      <w:r w:rsidRPr="00E00B95">
        <w:rPr>
          <w:rFonts w:cstheme="minorHAnsi"/>
        </w:rPr>
        <w:t>N</w:t>
      </w:r>
      <w:r w:rsidR="0071166B">
        <w:rPr>
          <w:rFonts w:cstheme="minorHAnsi"/>
        </w:rPr>
        <w:t xml:space="preserve">umerous free QI courses on </w:t>
      </w:r>
      <w:r w:rsidR="00867071">
        <w:rPr>
          <w:rFonts w:cstheme="minorHAnsi"/>
        </w:rPr>
        <w:t xml:space="preserve">a variety of topics, </w:t>
      </w:r>
      <w:r w:rsidR="0071166B">
        <w:rPr>
          <w:rFonts w:cstheme="minorHAnsi"/>
        </w:rPr>
        <w:t>such as asthma management, URI manageme</w:t>
      </w:r>
      <w:r w:rsidR="00E043B2">
        <w:rPr>
          <w:rFonts w:cstheme="minorHAnsi"/>
        </w:rPr>
        <w:t>nt, oral health, Bright Future developmental s</w:t>
      </w:r>
      <w:r w:rsidR="0071166B">
        <w:rPr>
          <w:rFonts w:cstheme="minorHAnsi"/>
        </w:rPr>
        <w:t xml:space="preserve">creening, and immunizations. Resident progress in any assigned courses can be tracked here. </w:t>
      </w:r>
    </w:p>
    <w:p w14:paraId="4D6A819A" w14:textId="300FB513" w:rsidR="00E00B95" w:rsidRDefault="00E00B95" w:rsidP="00E00B95">
      <w:pPr>
        <w:pStyle w:val="ListParagraph"/>
        <w:numPr>
          <w:ilvl w:val="3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 xml:space="preserve">A platform to organize QI projects </w:t>
      </w:r>
      <w:r w:rsidR="00E043B2">
        <w:rPr>
          <w:rFonts w:cstheme="minorHAnsi"/>
        </w:rPr>
        <w:t>with other residents/</w:t>
      </w:r>
      <w:r>
        <w:rPr>
          <w:rFonts w:cstheme="minorHAnsi"/>
        </w:rPr>
        <w:t xml:space="preserve">faculty and a repository to </w:t>
      </w:r>
      <w:r w:rsidR="00C06CD5">
        <w:rPr>
          <w:rFonts w:cstheme="minorHAnsi"/>
        </w:rPr>
        <w:t>store/analyze</w:t>
      </w:r>
      <w:r>
        <w:rPr>
          <w:rFonts w:cstheme="minorHAnsi"/>
        </w:rPr>
        <w:t xml:space="preserve"> data</w:t>
      </w:r>
      <w:r w:rsidR="00E043B2">
        <w:rPr>
          <w:rFonts w:cstheme="minorHAnsi"/>
        </w:rPr>
        <w:t xml:space="preserve"> for their projects</w:t>
      </w:r>
      <w:r>
        <w:rPr>
          <w:rFonts w:cstheme="minorHAnsi"/>
        </w:rPr>
        <w:t>.</w:t>
      </w:r>
    </w:p>
    <w:p w14:paraId="4566F3A0" w14:textId="77777777" w:rsidR="002A5374" w:rsidRDefault="002A5374" w:rsidP="002A5374">
      <w:pPr>
        <w:pStyle w:val="ListParagraph"/>
        <w:spacing w:after="0"/>
        <w:ind w:left="2160"/>
        <w:rPr>
          <w:rFonts w:cstheme="minorHAnsi"/>
        </w:rPr>
      </w:pPr>
    </w:p>
    <w:p w14:paraId="4BBCE064" w14:textId="6E7D0240" w:rsidR="0071166B" w:rsidRDefault="0071166B" w:rsidP="0071166B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73D33A9C">
        <w:rPr>
          <w:u w:val="single"/>
        </w:rPr>
        <w:t>Resident View</w:t>
      </w:r>
      <w:r w:rsidRPr="73D33A9C">
        <w:t xml:space="preserve"> – is a view unique to program direc</w:t>
      </w:r>
      <w:r w:rsidR="00E00B95" w:rsidRPr="73D33A9C">
        <w:t xml:space="preserve">tors, program coordinators, </w:t>
      </w:r>
      <w:r w:rsidRPr="73D33A9C">
        <w:t>tr</w:t>
      </w:r>
      <w:r w:rsidR="00E00B95" w:rsidRPr="73D33A9C">
        <w:t xml:space="preserve">ainee advisors, and residents </w:t>
      </w:r>
      <w:r w:rsidRPr="73D33A9C">
        <w:t>that provides the PediaLink view that an individual resident will see during their residency with the following tabs:</w:t>
      </w:r>
    </w:p>
    <w:p w14:paraId="29A10527" w14:textId="11636A1B" w:rsidR="0071166B" w:rsidRDefault="0071166B" w:rsidP="0071166B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2A5374">
        <w:rPr>
          <w:rFonts w:cstheme="minorHAnsi"/>
          <w:b/>
        </w:rPr>
        <w:t>Home</w:t>
      </w:r>
      <w:r>
        <w:rPr>
          <w:rFonts w:cstheme="minorHAnsi"/>
        </w:rPr>
        <w:t xml:space="preserve"> – provides resident access</w:t>
      </w:r>
      <w:r w:rsidR="00D1067E">
        <w:rPr>
          <w:rFonts w:cstheme="minorHAnsi"/>
        </w:rPr>
        <w:t xml:space="preserve"> to free</w:t>
      </w:r>
      <w:r w:rsidR="00633F3D">
        <w:rPr>
          <w:rFonts w:cstheme="minorHAnsi"/>
        </w:rPr>
        <w:t xml:space="preserve"> AAP</w:t>
      </w:r>
      <w:r w:rsidR="00D1067E">
        <w:rPr>
          <w:rFonts w:cstheme="minorHAnsi"/>
        </w:rPr>
        <w:t xml:space="preserve"> clinical courses, QI resources (EQIPP), and medical education resources.</w:t>
      </w:r>
    </w:p>
    <w:p w14:paraId="0E96CA00" w14:textId="30F99C50" w:rsidR="00D1067E" w:rsidRDefault="00D1067E" w:rsidP="0071166B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2A5374">
        <w:rPr>
          <w:rFonts w:cstheme="minorHAnsi"/>
          <w:b/>
        </w:rPr>
        <w:t>Individual Learning Plan</w:t>
      </w:r>
      <w:r>
        <w:rPr>
          <w:rFonts w:cstheme="minorHAnsi"/>
        </w:rPr>
        <w:t xml:space="preserve"> – provides resident access to building and updating their own ILP.</w:t>
      </w:r>
    </w:p>
    <w:p w14:paraId="72EE7A82" w14:textId="5227677E" w:rsidR="00D1067E" w:rsidRDefault="00D1067E" w:rsidP="0071166B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2A5374">
        <w:rPr>
          <w:rFonts w:cstheme="minorHAnsi"/>
          <w:b/>
        </w:rPr>
        <w:t>PREP Self-Assessment</w:t>
      </w:r>
      <w:r>
        <w:rPr>
          <w:rFonts w:cstheme="minorHAnsi"/>
        </w:rPr>
        <w:t xml:space="preserve"> – provides resident access to any available PREP Self-Assessment questions. Please note that PREP is available for free as part of a trainee’s paid AAP membership. As long as they are a resident, the resident will receive a new set of PREP questions for free on January 1</w:t>
      </w:r>
      <w:r w:rsidRPr="00D1067E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of each year. Residents will always </w:t>
      </w:r>
      <w:r w:rsidRPr="00633F3D">
        <w:rPr>
          <w:rFonts w:cstheme="minorHAnsi"/>
          <w:i/>
        </w:rPr>
        <w:t>only</w:t>
      </w:r>
      <w:r>
        <w:rPr>
          <w:rFonts w:cstheme="minorHAnsi"/>
        </w:rPr>
        <w:t xml:space="preserve"> have access to three </w:t>
      </w:r>
      <w:r w:rsidR="00633F3D">
        <w:rPr>
          <w:rFonts w:cstheme="minorHAnsi"/>
        </w:rPr>
        <w:t>years’ worth</w:t>
      </w:r>
      <w:r>
        <w:rPr>
          <w:rFonts w:cstheme="minorHAnsi"/>
        </w:rPr>
        <w:t xml:space="preserve"> of PREP questions at any given time so encourage them to complete older PREP questions first. For example, an intern starting </w:t>
      </w:r>
      <w:r w:rsidR="00633F3D">
        <w:rPr>
          <w:rFonts w:cstheme="minorHAnsi"/>
        </w:rPr>
        <w:t xml:space="preserve">in 2024 will immediately gain </w:t>
      </w:r>
      <w:r>
        <w:rPr>
          <w:rFonts w:cstheme="minorHAnsi"/>
        </w:rPr>
        <w:t>access to the 2024, 2023, and 2022 PREP exams upon starting July 1, 2024</w:t>
      </w:r>
      <w:r w:rsidR="00633F3D">
        <w:rPr>
          <w:rFonts w:cstheme="minorHAnsi"/>
        </w:rPr>
        <w:t xml:space="preserve"> (if their AAP membership is paid on time)</w:t>
      </w:r>
      <w:r>
        <w:rPr>
          <w:rFonts w:cstheme="minorHAnsi"/>
        </w:rPr>
        <w:t>. On January 2025, they will gain access to the</w:t>
      </w:r>
      <w:r w:rsidR="00633F3D">
        <w:rPr>
          <w:rFonts w:cstheme="minorHAnsi"/>
        </w:rPr>
        <w:t xml:space="preserve"> new</w:t>
      </w:r>
      <w:r>
        <w:rPr>
          <w:rFonts w:cstheme="minorHAnsi"/>
        </w:rPr>
        <w:t xml:space="preserve"> 2025 PREP questions (while maintaining access to 2024 and 2023</w:t>
      </w:r>
      <w:r w:rsidR="00A453D8">
        <w:rPr>
          <w:rFonts w:cstheme="minorHAnsi"/>
        </w:rPr>
        <w:t xml:space="preserve"> versions</w:t>
      </w:r>
      <w:r>
        <w:rPr>
          <w:rFonts w:cstheme="minorHAnsi"/>
        </w:rPr>
        <w:t xml:space="preserve">) but will lose access to the 2022 questions. Once a resident graduates from residency, they no longer receive PREP for free as part of an AAP </w:t>
      </w:r>
      <w:proofErr w:type="gramStart"/>
      <w:r>
        <w:rPr>
          <w:rFonts w:cstheme="minorHAnsi"/>
        </w:rPr>
        <w:t>membership</w:t>
      </w:r>
      <w:proofErr w:type="gramEnd"/>
      <w:r>
        <w:rPr>
          <w:rFonts w:cstheme="minorHAnsi"/>
        </w:rPr>
        <w:t xml:space="preserve"> but they will NOT</w:t>
      </w:r>
      <w:r w:rsidR="00633F3D">
        <w:rPr>
          <w:rFonts w:cstheme="minorHAnsi"/>
        </w:rPr>
        <w:t xml:space="preserve"> immediately</w:t>
      </w:r>
      <w:r>
        <w:rPr>
          <w:rFonts w:cstheme="minorHAnsi"/>
        </w:rPr>
        <w:t xml:space="preserve"> lose any questions they previously had acces</w:t>
      </w:r>
      <w:r w:rsidR="00633F3D">
        <w:rPr>
          <w:rFonts w:cstheme="minorHAnsi"/>
        </w:rPr>
        <w:t>s to so that they can continue to study for their board exam.</w:t>
      </w:r>
      <w:r>
        <w:rPr>
          <w:rFonts w:cstheme="minorHAnsi"/>
        </w:rPr>
        <w:t xml:space="preserve"> They just will not receive new questions each January 1</w:t>
      </w:r>
      <w:r w:rsidRPr="00D1067E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going forward without paying separately for them even if they pay for an attending AAP membership. </w:t>
      </w:r>
      <w:r w:rsidR="00E43881">
        <w:rPr>
          <w:rFonts w:cstheme="minorHAnsi"/>
        </w:rPr>
        <w:t>Graduated r</w:t>
      </w:r>
      <w:r w:rsidR="00633F3D">
        <w:rPr>
          <w:rFonts w:cstheme="minorHAnsi"/>
        </w:rPr>
        <w:t>esidents will gradually lose access to their free PREP questions obtained in residency after three years of access (</w:t>
      </w:r>
      <w:r w:rsidR="004D097E">
        <w:rPr>
          <w:rFonts w:cstheme="minorHAnsi"/>
        </w:rPr>
        <w:t>e.g.,</w:t>
      </w:r>
      <w:r w:rsidR="00633F3D">
        <w:rPr>
          <w:rFonts w:cstheme="minorHAnsi"/>
        </w:rPr>
        <w:t xml:space="preserve"> the 2025 questions will expire on January 1, 2028). </w:t>
      </w:r>
      <w:r w:rsidR="00E43881">
        <w:rPr>
          <w:rFonts w:cstheme="minorHAnsi"/>
        </w:rPr>
        <w:t xml:space="preserve">Graduates </w:t>
      </w:r>
      <w:r w:rsidR="00633F3D">
        <w:rPr>
          <w:rFonts w:cstheme="minorHAnsi"/>
        </w:rPr>
        <w:t>can use these questions for CME credit toward their medical licenses/renewals.</w:t>
      </w:r>
    </w:p>
    <w:p w14:paraId="68C3FAC1" w14:textId="1ECF4B09" w:rsidR="00D1067E" w:rsidRDefault="00D1067E" w:rsidP="0071166B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2A5374">
        <w:rPr>
          <w:rFonts w:cstheme="minorHAnsi"/>
          <w:b/>
        </w:rPr>
        <w:t>Continuing Education</w:t>
      </w:r>
      <w:r>
        <w:rPr>
          <w:rFonts w:cstheme="minorHAnsi"/>
        </w:rPr>
        <w:t xml:space="preserve"> – provides resident access to </w:t>
      </w:r>
      <w:r w:rsidR="004D097E">
        <w:rPr>
          <w:rFonts w:cstheme="minorHAnsi"/>
        </w:rPr>
        <w:t>all</w:t>
      </w:r>
      <w:r w:rsidR="00644D26">
        <w:rPr>
          <w:rFonts w:cstheme="minorHAnsi"/>
        </w:rPr>
        <w:t xml:space="preserve"> their completed PediaLink/</w:t>
      </w:r>
      <w:r>
        <w:rPr>
          <w:rFonts w:cstheme="minorHAnsi"/>
        </w:rPr>
        <w:t xml:space="preserve"> AAP-sponsored courses and tracks any CME credits allowing transcripts to be generated. This tab also provides opportunities to find any desired CME courses offered through the AAP.</w:t>
      </w:r>
    </w:p>
    <w:p w14:paraId="7118D022" w14:textId="77777777" w:rsidR="00644D26" w:rsidRDefault="00644D26" w:rsidP="00644D26">
      <w:pPr>
        <w:pStyle w:val="ListParagraph"/>
        <w:spacing w:after="0"/>
        <w:ind w:left="1440"/>
        <w:rPr>
          <w:rFonts w:cstheme="minorHAnsi"/>
        </w:rPr>
      </w:pPr>
    </w:p>
    <w:p w14:paraId="7BDEC1F6" w14:textId="47B2FAC4" w:rsidR="00A453D8" w:rsidRPr="00633F3D" w:rsidRDefault="00633F3D" w:rsidP="00633F3D">
      <w:pPr>
        <w:spacing w:after="0"/>
        <w:rPr>
          <w:rFonts w:cstheme="minorHAnsi"/>
        </w:rPr>
      </w:pPr>
      <w:r>
        <w:rPr>
          <w:rFonts w:cstheme="minorHAnsi"/>
        </w:rPr>
        <w:t>The AAP provides a PowerPoint slide deck that can be used to educate residents</w:t>
      </w:r>
      <w:r w:rsidR="00644D26">
        <w:rPr>
          <w:rFonts w:cstheme="minorHAnsi"/>
        </w:rPr>
        <w:t xml:space="preserve"> and advisors</w:t>
      </w:r>
      <w:r>
        <w:rPr>
          <w:rFonts w:cstheme="minorHAnsi"/>
        </w:rPr>
        <w:t xml:space="preserve"> on all the functions of PediaLink (ideal for new intern orientation</w:t>
      </w:r>
      <w:r w:rsidR="00644D26">
        <w:rPr>
          <w:rFonts w:cstheme="minorHAnsi"/>
        </w:rPr>
        <w:t xml:space="preserve"> or faculty development</w:t>
      </w:r>
      <w:r>
        <w:rPr>
          <w:rFonts w:cstheme="minorHAnsi"/>
        </w:rPr>
        <w:t xml:space="preserve">). It is best to email an AAP representative for the most updated version. </w:t>
      </w:r>
    </w:p>
    <w:p w14:paraId="471D94E5" w14:textId="77777777" w:rsidR="00867071" w:rsidRDefault="00867071" w:rsidP="73D33A9C">
      <w:pPr>
        <w:spacing w:after="0"/>
        <w:rPr>
          <w:rFonts w:ascii="Cambria" w:hAnsi="Cambria"/>
          <w:color w:val="0070C0"/>
          <w:sz w:val="28"/>
          <w:szCs w:val="28"/>
        </w:rPr>
      </w:pPr>
    </w:p>
    <w:p w14:paraId="1DBC991E" w14:textId="590244FD" w:rsidR="007C1A9B" w:rsidRDefault="007C1A9B" w:rsidP="73D33A9C">
      <w:pPr>
        <w:spacing w:after="0"/>
        <w:rPr>
          <w:rFonts w:ascii="Cambria" w:hAnsi="Cambria"/>
          <w:color w:val="0070C0"/>
          <w:sz w:val="28"/>
          <w:szCs w:val="28"/>
        </w:rPr>
      </w:pPr>
      <w:r w:rsidRPr="73D33A9C">
        <w:rPr>
          <w:rFonts w:ascii="Cambria" w:hAnsi="Cambria"/>
          <w:color w:val="0070C0"/>
          <w:sz w:val="28"/>
          <w:szCs w:val="28"/>
        </w:rPr>
        <w:t>Re</w:t>
      </w:r>
      <w:r w:rsidR="009723DF" w:rsidRPr="73D33A9C">
        <w:rPr>
          <w:rFonts w:ascii="Cambria" w:hAnsi="Cambria"/>
          <w:color w:val="0070C0"/>
          <w:sz w:val="28"/>
          <w:szCs w:val="28"/>
        </w:rPr>
        <w:t>sources</w:t>
      </w:r>
    </w:p>
    <w:p w14:paraId="3B63F5D4" w14:textId="1B9FB4A3" w:rsidR="73D33A9C" w:rsidRPr="00000A27" w:rsidRDefault="73D33A9C" w:rsidP="73D33A9C">
      <w:pPr>
        <w:spacing w:after="0"/>
        <w:rPr>
          <w:rFonts w:ascii="Cambria" w:hAnsi="Cambria"/>
          <w:color w:val="0070C0"/>
        </w:rPr>
      </w:pPr>
    </w:p>
    <w:p w14:paraId="39459D9D" w14:textId="09F3F114" w:rsidR="00EB72E0" w:rsidRPr="00E00B95" w:rsidRDefault="00E00B95" w:rsidP="00000A27">
      <w:pPr>
        <w:pStyle w:val="ListParagraph"/>
        <w:numPr>
          <w:ilvl w:val="0"/>
          <w:numId w:val="4"/>
        </w:numPr>
        <w:spacing w:after="0"/>
        <w:rPr>
          <w:rStyle w:val="Hyperlink"/>
          <w:rFonts w:cstheme="minorHAnsi"/>
          <w:color w:val="auto"/>
          <w:u w:val="none"/>
        </w:rPr>
      </w:pPr>
      <w:r>
        <w:t xml:space="preserve">AAP- </w:t>
      </w:r>
      <w:hyperlink r:id="rId26">
        <w:r w:rsidR="00EB72E0" w:rsidRPr="73D33A9C">
          <w:rPr>
            <w:rStyle w:val="Hyperlink"/>
          </w:rPr>
          <w:t>https://www.aap.org/</w:t>
        </w:r>
      </w:hyperlink>
    </w:p>
    <w:p w14:paraId="11451663" w14:textId="587BE92B" w:rsidR="1E609448" w:rsidRDefault="1E609448" w:rsidP="00000A27">
      <w:pPr>
        <w:pStyle w:val="ListParagraph"/>
        <w:numPr>
          <w:ilvl w:val="0"/>
          <w:numId w:val="4"/>
        </w:numPr>
        <w:spacing w:after="0"/>
      </w:pPr>
      <w:r w:rsidRPr="73D33A9C">
        <w:rPr>
          <w:rStyle w:val="Hyperlink"/>
          <w:color w:val="auto"/>
          <w:u w:val="none"/>
        </w:rPr>
        <w:t xml:space="preserve">AAP Resident Membership Details - </w:t>
      </w:r>
      <w:hyperlink r:id="rId27">
        <w:r w:rsidRPr="73D33A9C">
          <w:rPr>
            <w:rStyle w:val="Hyperlink"/>
          </w:rPr>
          <w:t>Residents (aap.org)</w:t>
        </w:r>
      </w:hyperlink>
    </w:p>
    <w:p w14:paraId="4AED5F86" w14:textId="53DCC4D8" w:rsidR="00E00B95" w:rsidRDefault="00E00B95" w:rsidP="00000A27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73D33A9C">
        <w:t xml:space="preserve">PediaLink- </w:t>
      </w:r>
      <w:hyperlink r:id="rId28">
        <w:r w:rsidRPr="73D33A9C">
          <w:rPr>
            <w:rStyle w:val="Hyperlink"/>
          </w:rPr>
          <w:t>https://www.aap.org/en/pedialink/</w:t>
        </w:r>
      </w:hyperlink>
      <w:r w:rsidRPr="73D33A9C">
        <w:t xml:space="preserve"> </w:t>
      </w:r>
    </w:p>
    <w:p w14:paraId="16E3230F" w14:textId="00E94DD5" w:rsidR="00EB72E0" w:rsidRPr="00EB72E0" w:rsidRDefault="00E00B95" w:rsidP="00000A27">
      <w:pPr>
        <w:pStyle w:val="ListParagraph"/>
        <w:numPr>
          <w:ilvl w:val="0"/>
          <w:numId w:val="4"/>
        </w:numPr>
        <w:spacing w:after="0"/>
      </w:pPr>
      <w:r>
        <w:t>S</w:t>
      </w:r>
      <w:r w:rsidR="6F244C6C">
        <w:t xml:space="preserve">ection on </w:t>
      </w:r>
      <w:r>
        <w:t>P</w:t>
      </w:r>
      <w:r w:rsidR="0F6F9D1F">
        <w:t xml:space="preserve">ediatric </w:t>
      </w:r>
      <w:r>
        <w:t>T</w:t>
      </w:r>
      <w:r w:rsidR="654B985F">
        <w:t>rainees</w:t>
      </w:r>
      <w:r w:rsidR="00E43881">
        <w:t xml:space="preserve"> </w:t>
      </w:r>
      <w:r w:rsidR="654B985F">
        <w:t xml:space="preserve">(SOPT) </w:t>
      </w:r>
      <w:r>
        <w:t xml:space="preserve">- </w:t>
      </w:r>
      <w:hyperlink r:id="rId29">
        <w:r w:rsidR="00EB72E0" w:rsidRPr="73D33A9C">
          <w:rPr>
            <w:rStyle w:val="Hyperlink"/>
          </w:rPr>
          <w:t>https://collaborate.aap.org/SOPT/Pages/Home.aspx</w:t>
        </w:r>
      </w:hyperlink>
      <w:r w:rsidR="00EB72E0" w:rsidRPr="73D33A9C">
        <w:t xml:space="preserve"> </w:t>
      </w:r>
    </w:p>
    <w:sectPr w:rsidR="00EB72E0" w:rsidRPr="00EB7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303"/>
    <w:multiLevelType w:val="hybridMultilevel"/>
    <w:tmpl w:val="E6F00C14"/>
    <w:lvl w:ilvl="0" w:tplc="B5421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444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EC1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2A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60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E1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9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FA0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A82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C5658"/>
    <w:multiLevelType w:val="hybridMultilevel"/>
    <w:tmpl w:val="827EA450"/>
    <w:lvl w:ilvl="0" w:tplc="DF681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A3FAC"/>
    <w:multiLevelType w:val="hybridMultilevel"/>
    <w:tmpl w:val="8FA4E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56DC0"/>
    <w:multiLevelType w:val="hybridMultilevel"/>
    <w:tmpl w:val="3A543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61E512"/>
    <w:multiLevelType w:val="hybridMultilevel"/>
    <w:tmpl w:val="AD96071E"/>
    <w:lvl w:ilvl="0" w:tplc="7CB6E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A3E2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36B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04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C4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C1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8F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2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8E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44430"/>
    <w:multiLevelType w:val="hybridMultilevel"/>
    <w:tmpl w:val="36CA4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1541738">
    <w:abstractNumId w:val="0"/>
  </w:num>
  <w:num w:numId="2" w16cid:durableId="1005472539">
    <w:abstractNumId w:val="4"/>
  </w:num>
  <w:num w:numId="3" w16cid:durableId="1642223721">
    <w:abstractNumId w:val="1"/>
  </w:num>
  <w:num w:numId="4" w16cid:durableId="1404253446">
    <w:abstractNumId w:val="2"/>
  </w:num>
  <w:num w:numId="5" w16cid:durableId="704604102">
    <w:abstractNumId w:val="5"/>
  </w:num>
  <w:num w:numId="6" w16cid:durableId="260190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661"/>
    <w:rsid w:val="00000A27"/>
    <w:rsid w:val="000C06C4"/>
    <w:rsid w:val="000D0668"/>
    <w:rsid w:val="001323B0"/>
    <w:rsid w:val="002271B5"/>
    <w:rsid w:val="00241477"/>
    <w:rsid w:val="00245B0E"/>
    <w:rsid w:val="00253E01"/>
    <w:rsid w:val="002A5374"/>
    <w:rsid w:val="003015DF"/>
    <w:rsid w:val="004024B3"/>
    <w:rsid w:val="00447A35"/>
    <w:rsid w:val="0045159E"/>
    <w:rsid w:val="004D097E"/>
    <w:rsid w:val="00543E5C"/>
    <w:rsid w:val="00586D92"/>
    <w:rsid w:val="005A5D7C"/>
    <w:rsid w:val="005B1661"/>
    <w:rsid w:val="005D115A"/>
    <w:rsid w:val="0062176B"/>
    <w:rsid w:val="00633F3D"/>
    <w:rsid w:val="00644D26"/>
    <w:rsid w:val="006911E0"/>
    <w:rsid w:val="0071166B"/>
    <w:rsid w:val="007C1A9B"/>
    <w:rsid w:val="007C3217"/>
    <w:rsid w:val="007D6BC1"/>
    <w:rsid w:val="0081588C"/>
    <w:rsid w:val="00867071"/>
    <w:rsid w:val="00892EFD"/>
    <w:rsid w:val="008D4631"/>
    <w:rsid w:val="009723DF"/>
    <w:rsid w:val="009F08DF"/>
    <w:rsid w:val="00A453D8"/>
    <w:rsid w:val="00AB69D4"/>
    <w:rsid w:val="00C06CD5"/>
    <w:rsid w:val="00C149E9"/>
    <w:rsid w:val="00C242C1"/>
    <w:rsid w:val="00CE629B"/>
    <w:rsid w:val="00D1067E"/>
    <w:rsid w:val="00DC4460"/>
    <w:rsid w:val="00E00B95"/>
    <w:rsid w:val="00E043B2"/>
    <w:rsid w:val="00E30367"/>
    <w:rsid w:val="00E43881"/>
    <w:rsid w:val="00E45A2B"/>
    <w:rsid w:val="00E96E48"/>
    <w:rsid w:val="00EB72E0"/>
    <w:rsid w:val="00FD3262"/>
    <w:rsid w:val="00FF3DA8"/>
    <w:rsid w:val="01209BD5"/>
    <w:rsid w:val="01F54DD7"/>
    <w:rsid w:val="02C7FAE7"/>
    <w:rsid w:val="03164ABA"/>
    <w:rsid w:val="03C912CD"/>
    <w:rsid w:val="03EB4B12"/>
    <w:rsid w:val="04D5CB4C"/>
    <w:rsid w:val="05160EEB"/>
    <w:rsid w:val="06C0D174"/>
    <w:rsid w:val="0778A13A"/>
    <w:rsid w:val="08B83C03"/>
    <w:rsid w:val="0A4C6757"/>
    <w:rsid w:val="0AF03138"/>
    <w:rsid w:val="0CF0E4E2"/>
    <w:rsid w:val="0D77D706"/>
    <w:rsid w:val="0F6F9D1F"/>
    <w:rsid w:val="1075A66E"/>
    <w:rsid w:val="116FAA42"/>
    <w:rsid w:val="11B27D54"/>
    <w:rsid w:val="12715FD7"/>
    <w:rsid w:val="12E60C37"/>
    <w:rsid w:val="140E3672"/>
    <w:rsid w:val="1481DC98"/>
    <w:rsid w:val="14F91915"/>
    <w:rsid w:val="1675ED28"/>
    <w:rsid w:val="16C46C0F"/>
    <w:rsid w:val="187AB325"/>
    <w:rsid w:val="19554DBB"/>
    <w:rsid w:val="1A83A478"/>
    <w:rsid w:val="1B2912B1"/>
    <w:rsid w:val="1B70B5FC"/>
    <w:rsid w:val="1BC8F62B"/>
    <w:rsid w:val="1C0E78EE"/>
    <w:rsid w:val="1CE09B25"/>
    <w:rsid w:val="1D4E2448"/>
    <w:rsid w:val="1D9C7EB3"/>
    <w:rsid w:val="1DE8F2EE"/>
    <w:rsid w:val="1E609448"/>
    <w:rsid w:val="1F43C63F"/>
    <w:rsid w:val="1F55FD32"/>
    <w:rsid w:val="2003A711"/>
    <w:rsid w:val="201838E7"/>
    <w:rsid w:val="21CE293C"/>
    <w:rsid w:val="2414DBB2"/>
    <w:rsid w:val="24C7CB03"/>
    <w:rsid w:val="25400DD0"/>
    <w:rsid w:val="25B44D6E"/>
    <w:rsid w:val="25C39C52"/>
    <w:rsid w:val="2750D140"/>
    <w:rsid w:val="27B678C7"/>
    <w:rsid w:val="29AAFDF0"/>
    <w:rsid w:val="2A5B4301"/>
    <w:rsid w:val="2CFC112C"/>
    <w:rsid w:val="2D06DC3F"/>
    <w:rsid w:val="2D333582"/>
    <w:rsid w:val="2E552D75"/>
    <w:rsid w:val="2F197D3E"/>
    <w:rsid w:val="318F70F7"/>
    <w:rsid w:val="327A77D7"/>
    <w:rsid w:val="3352F7A7"/>
    <w:rsid w:val="335C400C"/>
    <w:rsid w:val="343B3E34"/>
    <w:rsid w:val="34409B09"/>
    <w:rsid w:val="346FAF7C"/>
    <w:rsid w:val="39C2D670"/>
    <w:rsid w:val="403348A4"/>
    <w:rsid w:val="40DFE999"/>
    <w:rsid w:val="41478907"/>
    <w:rsid w:val="416ECBBC"/>
    <w:rsid w:val="41BB42E5"/>
    <w:rsid w:val="41C9BC30"/>
    <w:rsid w:val="42C04C42"/>
    <w:rsid w:val="4614E8DA"/>
    <w:rsid w:val="469D2D53"/>
    <w:rsid w:val="4781B845"/>
    <w:rsid w:val="47C6C7B8"/>
    <w:rsid w:val="481A7882"/>
    <w:rsid w:val="48CB2121"/>
    <w:rsid w:val="49389DAE"/>
    <w:rsid w:val="499D585E"/>
    <w:rsid w:val="49F347B4"/>
    <w:rsid w:val="4A095E13"/>
    <w:rsid w:val="4A6E03EA"/>
    <w:rsid w:val="4E389BC8"/>
    <w:rsid w:val="4E8C6D63"/>
    <w:rsid w:val="4F31B785"/>
    <w:rsid w:val="4F8836A3"/>
    <w:rsid w:val="503AEF99"/>
    <w:rsid w:val="50EED165"/>
    <w:rsid w:val="5212618F"/>
    <w:rsid w:val="52BB43DE"/>
    <w:rsid w:val="55812203"/>
    <w:rsid w:val="5608D901"/>
    <w:rsid w:val="56A185FD"/>
    <w:rsid w:val="57934888"/>
    <w:rsid w:val="59CDB4A2"/>
    <w:rsid w:val="5A11175A"/>
    <w:rsid w:val="5C8E4FC0"/>
    <w:rsid w:val="5D691D00"/>
    <w:rsid w:val="5E028A0C"/>
    <w:rsid w:val="5F6B8C7E"/>
    <w:rsid w:val="6161BD77"/>
    <w:rsid w:val="61A39B3C"/>
    <w:rsid w:val="63C4614D"/>
    <w:rsid w:val="654B985F"/>
    <w:rsid w:val="65BF8E5D"/>
    <w:rsid w:val="663C5CB9"/>
    <w:rsid w:val="67510F7D"/>
    <w:rsid w:val="686E6034"/>
    <w:rsid w:val="695912D3"/>
    <w:rsid w:val="6A1B8112"/>
    <w:rsid w:val="6A1FD749"/>
    <w:rsid w:val="6A33A2D1"/>
    <w:rsid w:val="6AF4E334"/>
    <w:rsid w:val="6B2438E7"/>
    <w:rsid w:val="6BBBA7AA"/>
    <w:rsid w:val="6C6912E8"/>
    <w:rsid w:val="6CD988D1"/>
    <w:rsid w:val="6E0CC53C"/>
    <w:rsid w:val="6F244C6C"/>
    <w:rsid w:val="6F43E6E4"/>
    <w:rsid w:val="6FEB9EE6"/>
    <w:rsid w:val="7089BBF8"/>
    <w:rsid w:val="710C9678"/>
    <w:rsid w:val="72E0365F"/>
    <w:rsid w:val="73C93EAD"/>
    <w:rsid w:val="73D33A9C"/>
    <w:rsid w:val="73E6C53C"/>
    <w:rsid w:val="74000929"/>
    <w:rsid w:val="756289F0"/>
    <w:rsid w:val="762BAD41"/>
    <w:rsid w:val="76F8FD7C"/>
    <w:rsid w:val="77680ABC"/>
    <w:rsid w:val="777EC30E"/>
    <w:rsid w:val="779A7F25"/>
    <w:rsid w:val="787648AB"/>
    <w:rsid w:val="789A2AB2"/>
    <w:rsid w:val="7944C8D1"/>
    <w:rsid w:val="7BA40D70"/>
    <w:rsid w:val="7C262C3A"/>
    <w:rsid w:val="7CB0F991"/>
    <w:rsid w:val="7E08E809"/>
    <w:rsid w:val="7E4CC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879F"/>
  <w15:chartTrackingRefBased/>
  <w15:docId w15:val="{AA0C4462-E299-41AD-9D1C-63AFAD19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6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2E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5D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41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tions.aap.org/pediatrics" TargetMode="External"/><Relationship Id="rId13" Type="http://schemas.openxmlformats.org/officeDocument/2006/relationships/hyperlink" Target="https://collaborate.aap.org/SOPT/Pages/SOPT-Advocacy-Campaign.aspx" TargetMode="External"/><Relationship Id="rId18" Type="http://schemas.openxmlformats.org/officeDocument/2006/relationships/hyperlink" Target="https://www.aap.org/en/career-resources/" TargetMode="External"/><Relationship Id="rId26" Type="http://schemas.openxmlformats.org/officeDocument/2006/relationships/hyperlink" Target="https://www.aap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healthychildren.org/English/Pages/default.aspx" TargetMode="External"/><Relationship Id="rId7" Type="http://schemas.openxmlformats.org/officeDocument/2006/relationships/hyperlink" Target="https://publications.aap.org/pediatricsinreview" TargetMode="External"/><Relationship Id="rId12" Type="http://schemas.openxmlformats.org/officeDocument/2006/relationships/hyperlink" Target="https://collaborate.aap.org/SOPT/Pages/Home.aspx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pedialink.aap.org/File%20Library/Unassigned/EQIPP-for-Residents---User-Guid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llaborate.aap.org/SOPT/Pages/Leadership-Opportunities.aspx" TargetMode="External"/><Relationship Id="rId20" Type="http://schemas.openxmlformats.org/officeDocument/2006/relationships/hyperlink" Target="https://www.aap.org/en/patient-care/" TargetMode="External"/><Relationship Id="rId29" Type="http://schemas.openxmlformats.org/officeDocument/2006/relationships/hyperlink" Target="https://collaborate.aap.org/SOPT/Pages/Home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ublications.aap.org/aapgrandrounds" TargetMode="External"/><Relationship Id="rId11" Type="http://schemas.openxmlformats.org/officeDocument/2006/relationships/hyperlink" Target="https://collaborate.aap.org/DSO/Pages/HomePage.aspx" TargetMode="External"/><Relationship Id="rId24" Type="http://schemas.openxmlformats.org/officeDocument/2006/relationships/hyperlink" Target="https://www.aap.org/en/pedialin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llaborate.aap.org/AAP-Volunteer-Network/Pages/Volunteer-Board-National.aspx" TargetMode="External"/><Relationship Id="rId23" Type="http://schemas.openxmlformats.org/officeDocument/2006/relationships/hyperlink" Target="https://www.aap.org/en/community/aap-sections/pediatric-trainees/sopt-funding-and-awards/" TargetMode="External"/><Relationship Id="rId28" Type="http://schemas.openxmlformats.org/officeDocument/2006/relationships/hyperlink" Target="https://www.aap.org/en/pedialink/" TargetMode="External"/><Relationship Id="rId10" Type="http://schemas.openxmlformats.org/officeDocument/2006/relationships/hyperlink" Target="https://www.aap.org/en/membership-application/residents/" TargetMode="External"/><Relationship Id="rId19" Type="http://schemas.openxmlformats.org/officeDocument/2006/relationships/hyperlink" Target="https://www.aap.org/en/shopaap/shop-by-product/journal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ublications.aap.org/redbook?autologincheck=redirected" TargetMode="External"/><Relationship Id="rId14" Type="http://schemas.openxmlformats.org/officeDocument/2006/relationships/hyperlink" Target="https://www.aap.org/en/advocacy/aap-advocacy-guide/" TargetMode="External"/><Relationship Id="rId22" Type="http://schemas.openxmlformats.org/officeDocument/2006/relationships/hyperlink" Target="https://collaborate.aap.org/SOPT/Pages/Home.aspx" TargetMode="External"/><Relationship Id="rId27" Type="http://schemas.openxmlformats.org/officeDocument/2006/relationships/hyperlink" Target="https://www.aap.org/en/membership-application/resident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D3CA-8C15-4A84-BE92-A07B74AC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Gellin, Caren</dc:creator>
  <cp:keywords/>
  <dc:description/>
  <cp:lastModifiedBy>Gellin, Caren</cp:lastModifiedBy>
  <cp:revision>9</cp:revision>
  <dcterms:created xsi:type="dcterms:W3CDTF">2024-03-29T15:39:00Z</dcterms:created>
  <dcterms:modified xsi:type="dcterms:W3CDTF">2024-05-28T18:42:00Z</dcterms:modified>
</cp:coreProperties>
</file>